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84032" w14:textId="77777777" w:rsidR="00880746" w:rsidRDefault="00880746" w:rsidP="00880746">
      <w:pPr>
        <w:widowControl/>
        <w:spacing w:line="220" w:lineRule="atLeast"/>
        <w:jc w:val="center"/>
        <w:outlineLvl w:val="2"/>
        <w:rPr>
          <w:rFonts w:ascii="宋体" w:eastAsia="宋体" w:hAnsi="宋体" w:cs="宋体"/>
          <w:b/>
          <w:bCs/>
          <w:color w:val="000000"/>
          <w:kern w:val="0"/>
          <w:sz w:val="36"/>
          <w:szCs w:val="36"/>
        </w:rPr>
      </w:pPr>
      <w:r w:rsidRPr="00880746">
        <w:rPr>
          <w:rFonts w:ascii="宋体" w:eastAsia="宋体" w:hAnsi="宋体" w:cs="宋体" w:hint="eastAsia"/>
          <w:b/>
          <w:bCs/>
          <w:color w:val="000000"/>
          <w:kern w:val="0"/>
          <w:sz w:val="36"/>
          <w:szCs w:val="36"/>
        </w:rPr>
        <w:t>浙江大学纵向科研经费支出注意事项</w:t>
      </w:r>
    </w:p>
    <w:p w14:paraId="44A84033" w14:textId="77777777" w:rsidR="00880746" w:rsidRPr="00880746" w:rsidRDefault="00880746" w:rsidP="00880746">
      <w:pPr>
        <w:widowControl/>
        <w:tabs>
          <w:tab w:val="left" w:pos="6580"/>
        </w:tabs>
        <w:spacing w:line="220" w:lineRule="atLeast"/>
        <w:jc w:val="left"/>
        <w:outlineLvl w:val="2"/>
        <w:rPr>
          <w:rFonts w:ascii="宋体" w:eastAsia="宋体" w:hAnsi="宋体" w:cs="宋体"/>
          <w:b/>
          <w:bCs/>
          <w:color w:val="000000"/>
          <w:kern w:val="0"/>
          <w:sz w:val="36"/>
          <w:szCs w:val="36"/>
        </w:rPr>
      </w:pPr>
      <w:r>
        <w:rPr>
          <w:rFonts w:ascii="宋体" w:eastAsia="宋体" w:hAnsi="宋体" w:cs="宋体"/>
          <w:b/>
          <w:bCs/>
          <w:color w:val="000000"/>
          <w:kern w:val="0"/>
          <w:sz w:val="36"/>
          <w:szCs w:val="36"/>
        </w:rPr>
        <w:tab/>
      </w:r>
    </w:p>
    <w:p w14:paraId="44A84034"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kern w:val="0"/>
          <w:sz w:val="24"/>
          <w:szCs w:val="24"/>
        </w:rPr>
        <w:t>（1）设备费</w:t>
      </w:r>
    </w:p>
    <w:p w14:paraId="44A84035"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设备费是指在课题研究开发过程中购置或试制专用仪器设备，对现有仪器设备进行升级改造，以及租赁外单位仪器设备为发生的费用。</w:t>
      </w:r>
    </w:p>
    <w:p w14:paraId="44A84036"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本科目列支费用应为</w:t>
      </w:r>
      <w:r w:rsidRPr="00880746">
        <w:rPr>
          <w:rFonts w:ascii="宋体" w:eastAsia="宋体" w:hAnsi="宋体" w:cs="宋体" w:hint="eastAsia"/>
          <w:b/>
          <w:bCs/>
          <w:kern w:val="0"/>
          <w:sz w:val="24"/>
          <w:szCs w:val="24"/>
        </w:rPr>
        <w:t>研究周期以内</w:t>
      </w:r>
      <w:r w:rsidRPr="00880746">
        <w:rPr>
          <w:rFonts w:ascii="宋体" w:eastAsia="宋体" w:hAnsi="宋体" w:cs="宋体" w:hint="eastAsia"/>
          <w:kern w:val="0"/>
          <w:sz w:val="24"/>
          <w:szCs w:val="24"/>
        </w:rPr>
        <w:t>发生的费用，要关注设备费的支出时间和到货时间；原则上</w:t>
      </w:r>
      <w:r w:rsidRPr="00880746">
        <w:rPr>
          <w:rFonts w:ascii="宋体" w:eastAsia="宋体" w:hAnsi="宋体" w:cs="宋体" w:hint="eastAsia"/>
          <w:b/>
          <w:bCs/>
          <w:kern w:val="0"/>
          <w:sz w:val="24"/>
          <w:szCs w:val="24"/>
        </w:rPr>
        <w:t>不应列支预算外设备</w:t>
      </w:r>
      <w:r w:rsidRPr="00880746">
        <w:rPr>
          <w:rFonts w:ascii="宋体" w:eastAsia="宋体" w:hAnsi="宋体" w:cs="宋体" w:hint="eastAsia"/>
          <w:kern w:val="0"/>
          <w:sz w:val="24"/>
          <w:szCs w:val="24"/>
        </w:rPr>
        <w:t>，尤其是单价超过10万元的设备；应有完整的设备验收</w:t>
      </w:r>
      <w:r w:rsidRPr="00880746">
        <w:rPr>
          <w:rFonts w:ascii="宋体" w:eastAsia="宋体" w:hAnsi="宋体" w:cs="宋体" w:hint="eastAsia"/>
          <w:b/>
          <w:bCs/>
          <w:kern w:val="0"/>
          <w:sz w:val="24"/>
          <w:szCs w:val="24"/>
        </w:rPr>
        <w:t>入库手续</w:t>
      </w:r>
      <w:r w:rsidRPr="00880746">
        <w:rPr>
          <w:rFonts w:ascii="宋体" w:eastAsia="宋体" w:hAnsi="宋体" w:cs="宋体" w:hint="eastAsia"/>
          <w:kern w:val="0"/>
          <w:sz w:val="24"/>
          <w:szCs w:val="24"/>
        </w:rPr>
        <w:t>以应对资产盘点。</w:t>
      </w:r>
    </w:p>
    <w:p w14:paraId="44A84037"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38"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kern w:val="0"/>
          <w:sz w:val="24"/>
          <w:szCs w:val="24"/>
        </w:rPr>
        <w:t>（2）材料费</w:t>
      </w:r>
    </w:p>
    <w:p w14:paraId="44A84039"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材料费是指在课题研究开发过程中消耗的各种原材料、辅助材料等低值易耗品的采购及运输、装卸、整理等费用。</w:t>
      </w:r>
    </w:p>
    <w:p w14:paraId="44A8403A"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采购材料应有完整的材料</w:t>
      </w:r>
      <w:r w:rsidRPr="00880746">
        <w:rPr>
          <w:rFonts w:ascii="宋体" w:eastAsia="宋体" w:hAnsi="宋体" w:cs="宋体" w:hint="eastAsia"/>
          <w:b/>
          <w:bCs/>
          <w:color w:val="000000"/>
          <w:kern w:val="0"/>
          <w:sz w:val="24"/>
          <w:szCs w:val="24"/>
        </w:rPr>
        <w:t>出入库手续</w:t>
      </w:r>
      <w:r w:rsidRPr="00880746">
        <w:rPr>
          <w:rFonts w:ascii="宋体" w:eastAsia="宋体" w:hAnsi="宋体" w:cs="宋体" w:hint="eastAsia"/>
          <w:color w:val="000000"/>
          <w:kern w:val="0"/>
          <w:sz w:val="24"/>
          <w:szCs w:val="24"/>
        </w:rPr>
        <w:t>，杜绝“以购代耗”现象；大宗材料采购应</w:t>
      </w:r>
      <w:r w:rsidRPr="00880746">
        <w:rPr>
          <w:rFonts w:ascii="宋体" w:eastAsia="宋体" w:hAnsi="宋体" w:cs="宋体" w:hint="eastAsia"/>
          <w:b/>
          <w:bCs/>
          <w:color w:val="000000"/>
          <w:kern w:val="0"/>
          <w:sz w:val="24"/>
          <w:szCs w:val="24"/>
        </w:rPr>
        <w:t>签订合同</w:t>
      </w:r>
      <w:r w:rsidRPr="00880746">
        <w:rPr>
          <w:rFonts w:ascii="宋体" w:eastAsia="宋体" w:hAnsi="宋体" w:cs="宋体" w:hint="eastAsia"/>
          <w:color w:val="000000"/>
          <w:kern w:val="0"/>
          <w:sz w:val="24"/>
          <w:szCs w:val="24"/>
        </w:rPr>
        <w:t>，要有完整的审批手续，</w:t>
      </w:r>
      <w:r w:rsidRPr="00880746">
        <w:rPr>
          <w:rFonts w:ascii="宋体" w:eastAsia="宋体" w:hAnsi="宋体" w:cs="宋体" w:hint="eastAsia"/>
          <w:b/>
          <w:bCs/>
          <w:color w:val="000000"/>
          <w:kern w:val="0"/>
          <w:sz w:val="24"/>
          <w:szCs w:val="24"/>
        </w:rPr>
        <w:t>禁止人为拆分</w:t>
      </w:r>
      <w:r w:rsidRPr="00880746">
        <w:rPr>
          <w:rFonts w:ascii="宋体" w:eastAsia="宋体" w:hAnsi="宋体" w:cs="宋体" w:hint="eastAsia"/>
          <w:color w:val="000000"/>
          <w:kern w:val="0"/>
          <w:sz w:val="24"/>
          <w:szCs w:val="24"/>
        </w:rPr>
        <w:t>；不得在专项经费中列支生产性材料、基建材料、大宗工业化原料、</w:t>
      </w:r>
      <w:r w:rsidRPr="00880746">
        <w:rPr>
          <w:rFonts w:ascii="宋体" w:eastAsia="宋体" w:hAnsi="宋体" w:cs="宋体" w:hint="eastAsia"/>
          <w:b/>
          <w:bCs/>
          <w:color w:val="000000"/>
          <w:kern w:val="0"/>
          <w:sz w:val="24"/>
          <w:szCs w:val="24"/>
        </w:rPr>
        <w:t>普通办公耗材等</w:t>
      </w:r>
      <w:r w:rsidRPr="00880746">
        <w:rPr>
          <w:rFonts w:ascii="宋体" w:eastAsia="宋体" w:hAnsi="宋体" w:cs="宋体" w:hint="eastAsia"/>
          <w:color w:val="000000"/>
          <w:kern w:val="0"/>
          <w:sz w:val="24"/>
          <w:szCs w:val="24"/>
        </w:rPr>
        <w:t>。</w:t>
      </w:r>
    </w:p>
    <w:p w14:paraId="44A8403B"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3C"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kern w:val="0"/>
          <w:sz w:val="24"/>
          <w:szCs w:val="24"/>
        </w:rPr>
        <w:t>（3）测试化验加工费</w:t>
      </w:r>
    </w:p>
    <w:p w14:paraId="44A8403D"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测试化验加工费是指在课题研究开发过程中支付给外单位（包括课题承担单位内部独立经济核算单位）的检验、测试、化验及加工等费用。</w:t>
      </w:r>
    </w:p>
    <w:p w14:paraId="44A8403E"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课题承担单位如委托外部独立法人单位进行测试，须</w:t>
      </w:r>
      <w:r w:rsidRPr="00880746">
        <w:rPr>
          <w:rFonts w:ascii="宋体" w:eastAsia="宋体" w:hAnsi="宋体" w:cs="宋体" w:hint="eastAsia"/>
          <w:b/>
          <w:bCs/>
          <w:kern w:val="0"/>
          <w:sz w:val="24"/>
          <w:szCs w:val="24"/>
        </w:rPr>
        <w:t>签订合同</w:t>
      </w:r>
      <w:r w:rsidRPr="00880746">
        <w:rPr>
          <w:rFonts w:ascii="宋体" w:eastAsia="宋体" w:hAnsi="宋体" w:cs="宋体" w:hint="eastAsia"/>
          <w:kern w:val="0"/>
          <w:sz w:val="24"/>
          <w:szCs w:val="24"/>
        </w:rPr>
        <w:t>，并开具发票；相关</w:t>
      </w:r>
      <w:r w:rsidRPr="00880746">
        <w:rPr>
          <w:rFonts w:ascii="宋体" w:eastAsia="宋体" w:hAnsi="宋体" w:cs="宋体" w:hint="eastAsia"/>
          <w:b/>
          <w:bCs/>
          <w:kern w:val="0"/>
          <w:sz w:val="24"/>
          <w:szCs w:val="24"/>
        </w:rPr>
        <w:t>测试报告原件</w:t>
      </w:r>
      <w:r w:rsidRPr="00880746">
        <w:rPr>
          <w:rFonts w:ascii="宋体" w:eastAsia="宋体" w:hAnsi="宋体" w:cs="宋体" w:hint="eastAsia"/>
          <w:kern w:val="0"/>
          <w:sz w:val="24"/>
          <w:szCs w:val="24"/>
        </w:rPr>
        <w:t>应作为研究材料由项目（课题）负责人自行保存和归档备查；</w:t>
      </w:r>
      <w:r w:rsidRPr="00880746">
        <w:rPr>
          <w:rFonts w:ascii="宋体" w:eastAsia="宋体" w:hAnsi="宋体" w:cs="宋体" w:hint="eastAsia"/>
          <w:b/>
          <w:bCs/>
          <w:kern w:val="0"/>
          <w:sz w:val="24"/>
          <w:szCs w:val="24"/>
        </w:rPr>
        <w:t>禁止</w:t>
      </w:r>
      <w:r w:rsidRPr="00880746">
        <w:rPr>
          <w:rFonts w:ascii="宋体" w:eastAsia="宋体" w:hAnsi="宋体" w:cs="宋体" w:hint="eastAsia"/>
          <w:kern w:val="0"/>
          <w:sz w:val="24"/>
          <w:szCs w:val="24"/>
        </w:rPr>
        <w:t>以测试化验加工费的名义转拨经费。</w:t>
      </w:r>
    </w:p>
    <w:p w14:paraId="44A8403F"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40"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kern w:val="0"/>
          <w:sz w:val="24"/>
          <w:szCs w:val="24"/>
        </w:rPr>
        <w:t>（4）燃料动力费</w:t>
      </w:r>
    </w:p>
    <w:p w14:paraId="44A84041"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燃料动力费是指在课题研究开发过程中相关大型仪器设备、专用科学装置等运行发生的可以单独计量的水、电、气、燃料消耗费用等。</w:t>
      </w:r>
    </w:p>
    <w:p w14:paraId="44A84042"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不能单独计量的仪器设备、科学装置以及实验室日常运行的水、电、气、暖等支出应从间接费用列支，不得分摊计入燃料动力费。</w:t>
      </w:r>
    </w:p>
    <w:p w14:paraId="44A84043"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44"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color w:val="000000"/>
          <w:kern w:val="0"/>
          <w:sz w:val="24"/>
          <w:szCs w:val="24"/>
        </w:rPr>
        <w:t>（5）差旅费</w:t>
      </w:r>
    </w:p>
    <w:p w14:paraId="44A84045"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差旅费是指在课题研究开发过程中开展科学实验（试验）、科学考察、业务调研、学术交流等所发生的外埠差旅费、市内交通费用等。</w:t>
      </w:r>
    </w:p>
    <w:p w14:paraId="44A84046"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出差人员应为</w:t>
      </w:r>
      <w:r w:rsidRPr="00880746">
        <w:rPr>
          <w:rFonts w:ascii="宋体" w:eastAsia="宋体" w:hAnsi="宋体" w:cs="宋体" w:hint="eastAsia"/>
          <w:b/>
          <w:bCs/>
          <w:kern w:val="0"/>
          <w:sz w:val="24"/>
          <w:szCs w:val="24"/>
        </w:rPr>
        <w:t>课题组人员</w:t>
      </w:r>
      <w:r w:rsidRPr="00880746">
        <w:rPr>
          <w:rFonts w:ascii="宋体" w:eastAsia="宋体" w:hAnsi="宋体" w:cs="宋体" w:hint="eastAsia"/>
          <w:kern w:val="0"/>
          <w:sz w:val="24"/>
          <w:szCs w:val="24"/>
        </w:rPr>
        <w:t>，并有出差审批手续、报销单等相关凭据；差旅费报销实行</w:t>
      </w:r>
      <w:r w:rsidRPr="00880746">
        <w:rPr>
          <w:rFonts w:ascii="宋体" w:eastAsia="宋体" w:hAnsi="宋体" w:cs="宋体" w:hint="eastAsia"/>
          <w:b/>
          <w:bCs/>
          <w:kern w:val="0"/>
          <w:sz w:val="24"/>
          <w:szCs w:val="24"/>
        </w:rPr>
        <w:t>一事一报制</w:t>
      </w:r>
      <w:r w:rsidRPr="00880746">
        <w:rPr>
          <w:rFonts w:ascii="宋体" w:eastAsia="宋体" w:hAnsi="宋体" w:cs="宋体" w:hint="eastAsia"/>
          <w:kern w:val="0"/>
          <w:sz w:val="24"/>
          <w:szCs w:val="24"/>
        </w:rPr>
        <w:t>，并尽可能在《浙江大学差旅费报销单》上</w:t>
      </w:r>
      <w:r w:rsidRPr="00880746">
        <w:rPr>
          <w:rFonts w:ascii="宋体" w:eastAsia="宋体" w:hAnsi="宋体" w:cs="宋体" w:hint="eastAsia"/>
          <w:b/>
          <w:bCs/>
          <w:kern w:val="0"/>
          <w:sz w:val="24"/>
          <w:szCs w:val="24"/>
        </w:rPr>
        <w:t>详细说明具体出差事由</w:t>
      </w:r>
      <w:r w:rsidRPr="00880746">
        <w:rPr>
          <w:rFonts w:ascii="宋体" w:eastAsia="宋体" w:hAnsi="宋体" w:cs="宋体" w:hint="eastAsia"/>
          <w:kern w:val="0"/>
          <w:sz w:val="24"/>
          <w:szCs w:val="24"/>
        </w:rPr>
        <w:t>。</w:t>
      </w:r>
    </w:p>
    <w:p w14:paraId="44A84047"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48"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kern w:val="0"/>
          <w:sz w:val="24"/>
          <w:szCs w:val="24"/>
        </w:rPr>
        <w:t>（6）会议费（不含专家咨询费）</w:t>
      </w:r>
    </w:p>
    <w:p w14:paraId="44A84049"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会议费是指在课题研究开发过程中为组织开展学术研讨、咨询以及协调项目或课题等活动而发生的会议费用。</w:t>
      </w:r>
    </w:p>
    <w:p w14:paraId="44A8404A"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要严格控制会议规模、会议数量、会议开支标准（目前是</w:t>
      </w:r>
      <w:r w:rsidRPr="00880746">
        <w:rPr>
          <w:rFonts w:ascii="宋体" w:eastAsia="宋体" w:hAnsi="宋体" w:cs="宋体" w:hint="eastAsia"/>
          <w:b/>
          <w:bCs/>
          <w:kern w:val="0"/>
          <w:sz w:val="24"/>
          <w:szCs w:val="24"/>
        </w:rPr>
        <w:t>每人每天400元，2014年1月1日起每人每天450元</w:t>
      </w:r>
      <w:r w:rsidRPr="00880746">
        <w:rPr>
          <w:rFonts w:ascii="宋体" w:eastAsia="宋体" w:hAnsi="宋体" w:cs="宋体" w:hint="eastAsia"/>
          <w:color w:val="000000"/>
          <w:kern w:val="0"/>
          <w:sz w:val="24"/>
          <w:szCs w:val="24"/>
        </w:rPr>
        <w:t>）和会期；报销应</w:t>
      </w:r>
      <w:proofErr w:type="gramStart"/>
      <w:r w:rsidRPr="00880746">
        <w:rPr>
          <w:rFonts w:ascii="宋体" w:eastAsia="宋体" w:hAnsi="宋体" w:cs="宋体" w:hint="eastAsia"/>
          <w:color w:val="000000"/>
          <w:kern w:val="0"/>
          <w:sz w:val="24"/>
          <w:szCs w:val="24"/>
        </w:rPr>
        <w:t>附</w:t>
      </w:r>
      <w:r w:rsidRPr="00880746">
        <w:rPr>
          <w:rFonts w:ascii="宋体" w:eastAsia="宋体" w:hAnsi="宋体" w:cs="宋体" w:hint="eastAsia"/>
          <w:b/>
          <w:bCs/>
          <w:color w:val="000000"/>
          <w:kern w:val="0"/>
          <w:sz w:val="24"/>
          <w:szCs w:val="24"/>
        </w:rPr>
        <w:t>会议</w:t>
      </w:r>
      <w:proofErr w:type="gramEnd"/>
      <w:r w:rsidRPr="00880746">
        <w:rPr>
          <w:rFonts w:ascii="宋体" w:eastAsia="宋体" w:hAnsi="宋体" w:cs="宋体" w:hint="eastAsia"/>
          <w:b/>
          <w:bCs/>
          <w:color w:val="000000"/>
          <w:kern w:val="0"/>
          <w:sz w:val="24"/>
          <w:szCs w:val="24"/>
        </w:rPr>
        <w:t>通知</w:t>
      </w:r>
      <w:r w:rsidRPr="00880746">
        <w:rPr>
          <w:rFonts w:ascii="宋体" w:eastAsia="宋体" w:hAnsi="宋体" w:cs="宋体" w:hint="eastAsia"/>
          <w:color w:val="000000"/>
          <w:kern w:val="0"/>
          <w:sz w:val="24"/>
          <w:szCs w:val="24"/>
        </w:rPr>
        <w:t>、与会代表名单（含</w:t>
      </w:r>
      <w:r w:rsidRPr="00880746">
        <w:rPr>
          <w:rFonts w:ascii="宋体" w:eastAsia="宋体" w:hAnsi="宋体" w:cs="宋体" w:hint="eastAsia"/>
          <w:b/>
          <w:bCs/>
          <w:color w:val="000000"/>
          <w:kern w:val="0"/>
          <w:sz w:val="24"/>
          <w:szCs w:val="24"/>
        </w:rPr>
        <w:t>签到单</w:t>
      </w:r>
      <w:r w:rsidRPr="00880746">
        <w:rPr>
          <w:rFonts w:ascii="宋体" w:eastAsia="宋体" w:hAnsi="宋体" w:cs="宋体" w:hint="eastAsia"/>
          <w:color w:val="000000"/>
          <w:kern w:val="0"/>
          <w:sz w:val="24"/>
          <w:szCs w:val="24"/>
        </w:rPr>
        <w:t>）、</w:t>
      </w:r>
      <w:r w:rsidRPr="00880746">
        <w:rPr>
          <w:rFonts w:ascii="宋体" w:eastAsia="宋体" w:hAnsi="宋体" w:cs="宋体" w:hint="eastAsia"/>
          <w:b/>
          <w:bCs/>
          <w:color w:val="000000"/>
          <w:kern w:val="0"/>
          <w:sz w:val="24"/>
          <w:szCs w:val="24"/>
        </w:rPr>
        <w:t>会议纪要</w:t>
      </w:r>
      <w:r w:rsidRPr="00880746">
        <w:rPr>
          <w:rFonts w:ascii="宋体" w:eastAsia="宋体" w:hAnsi="宋体" w:cs="宋体" w:hint="eastAsia"/>
          <w:color w:val="000000"/>
          <w:kern w:val="0"/>
          <w:sz w:val="24"/>
          <w:szCs w:val="24"/>
        </w:rPr>
        <w:t>等凭据；会议费不得包含专家咨询费、礼品费、招待</w:t>
      </w:r>
      <w:r w:rsidRPr="00880746">
        <w:rPr>
          <w:rFonts w:ascii="宋体" w:eastAsia="宋体" w:hAnsi="宋体" w:cs="宋体" w:hint="eastAsia"/>
          <w:color w:val="000000"/>
          <w:kern w:val="0"/>
          <w:sz w:val="24"/>
          <w:szCs w:val="24"/>
        </w:rPr>
        <w:lastRenderedPageBreak/>
        <w:t>费和旅游等开支；会议代表参加会议发生的</w:t>
      </w:r>
      <w:r w:rsidRPr="00880746">
        <w:rPr>
          <w:rFonts w:ascii="宋体" w:eastAsia="宋体" w:hAnsi="宋体" w:cs="宋体" w:hint="eastAsia"/>
          <w:b/>
          <w:bCs/>
          <w:color w:val="000000"/>
          <w:kern w:val="0"/>
          <w:sz w:val="24"/>
          <w:szCs w:val="24"/>
        </w:rPr>
        <w:t>城市间交通费</w:t>
      </w:r>
      <w:r w:rsidRPr="00880746">
        <w:rPr>
          <w:rFonts w:ascii="宋体" w:eastAsia="宋体" w:hAnsi="宋体" w:cs="宋体" w:hint="eastAsia"/>
          <w:color w:val="000000"/>
          <w:kern w:val="0"/>
          <w:sz w:val="24"/>
          <w:szCs w:val="24"/>
        </w:rPr>
        <w:t>，按照差旅费管理办法的规定回单位报销；会议应在</w:t>
      </w:r>
      <w:r w:rsidRPr="00880746">
        <w:rPr>
          <w:rFonts w:ascii="宋体" w:eastAsia="宋体" w:hAnsi="宋体" w:cs="宋体" w:hint="eastAsia"/>
          <w:b/>
          <w:bCs/>
          <w:color w:val="000000"/>
          <w:kern w:val="0"/>
          <w:sz w:val="24"/>
          <w:szCs w:val="24"/>
        </w:rPr>
        <w:t>四星级以下（含四星）</w:t>
      </w:r>
      <w:r w:rsidRPr="00880746">
        <w:rPr>
          <w:rFonts w:ascii="宋体" w:eastAsia="宋体" w:hAnsi="宋体" w:cs="宋体" w:hint="eastAsia"/>
          <w:color w:val="000000"/>
          <w:kern w:val="0"/>
          <w:sz w:val="24"/>
          <w:szCs w:val="24"/>
        </w:rPr>
        <w:t>定点饭店召开。</w:t>
      </w:r>
    </w:p>
    <w:p w14:paraId="44A8404B"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4C"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color w:val="000000"/>
          <w:kern w:val="0"/>
          <w:sz w:val="24"/>
          <w:szCs w:val="24"/>
        </w:rPr>
        <w:t>（7）国际合作交流费</w:t>
      </w:r>
    </w:p>
    <w:p w14:paraId="44A8404D"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国际合作交流费是指在课题研究开发过程中课题研究人员出国及外国专家来华工作的费用。</w:t>
      </w:r>
    </w:p>
    <w:p w14:paraId="44A8404E"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国际合作与交流费应由项目组织单位（项目实施单位/首席科学家）审核同意；出国人员应为</w:t>
      </w:r>
      <w:r w:rsidRPr="00880746">
        <w:rPr>
          <w:rFonts w:ascii="宋体" w:eastAsia="宋体" w:hAnsi="宋体" w:cs="宋体" w:hint="eastAsia"/>
          <w:b/>
          <w:bCs/>
          <w:color w:val="000000"/>
          <w:kern w:val="0"/>
          <w:sz w:val="24"/>
          <w:szCs w:val="24"/>
        </w:rPr>
        <w:t>课题组人员</w:t>
      </w:r>
      <w:r w:rsidRPr="00880746">
        <w:rPr>
          <w:rFonts w:ascii="宋体" w:eastAsia="宋体" w:hAnsi="宋体" w:cs="宋体" w:hint="eastAsia"/>
          <w:color w:val="000000"/>
          <w:kern w:val="0"/>
          <w:sz w:val="24"/>
          <w:szCs w:val="24"/>
        </w:rPr>
        <w:t>，出发目的地、国别、天数次数和人员规模应</w:t>
      </w:r>
      <w:r w:rsidRPr="00880746">
        <w:rPr>
          <w:rFonts w:ascii="宋体" w:eastAsia="宋体" w:hAnsi="宋体" w:cs="宋体" w:hint="eastAsia"/>
          <w:b/>
          <w:bCs/>
          <w:color w:val="000000"/>
          <w:kern w:val="0"/>
          <w:sz w:val="24"/>
          <w:szCs w:val="24"/>
        </w:rPr>
        <w:t>与预算相符</w:t>
      </w:r>
      <w:r w:rsidRPr="00880746">
        <w:rPr>
          <w:rFonts w:ascii="宋体" w:eastAsia="宋体" w:hAnsi="宋体" w:cs="宋体" w:hint="eastAsia"/>
          <w:color w:val="000000"/>
          <w:kern w:val="0"/>
          <w:sz w:val="24"/>
          <w:szCs w:val="24"/>
        </w:rPr>
        <w:t>，应有相关</w:t>
      </w:r>
      <w:r w:rsidRPr="00880746">
        <w:rPr>
          <w:rFonts w:ascii="宋体" w:eastAsia="宋体" w:hAnsi="宋体" w:cs="宋体" w:hint="eastAsia"/>
          <w:b/>
          <w:bCs/>
          <w:color w:val="000000"/>
          <w:kern w:val="0"/>
          <w:sz w:val="24"/>
          <w:szCs w:val="24"/>
        </w:rPr>
        <w:t>邀请函、批件、出国行程表、</w:t>
      </w:r>
      <w:r w:rsidRPr="00880746">
        <w:rPr>
          <w:rFonts w:ascii="宋体" w:eastAsia="宋体" w:hAnsi="宋体" w:cs="宋体" w:hint="eastAsia"/>
          <w:color w:val="000000"/>
          <w:kern w:val="0"/>
          <w:sz w:val="24"/>
          <w:szCs w:val="24"/>
        </w:rPr>
        <w:t>出国</w:t>
      </w:r>
      <w:r w:rsidRPr="00880746">
        <w:rPr>
          <w:rFonts w:ascii="宋体" w:eastAsia="宋体" w:hAnsi="宋体" w:cs="宋体" w:hint="eastAsia"/>
          <w:b/>
          <w:bCs/>
          <w:color w:val="000000"/>
          <w:kern w:val="0"/>
          <w:sz w:val="24"/>
          <w:szCs w:val="24"/>
        </w:rPr>
        <w:t>调研报告</w:t>
      </w:r>
      <w:r w:rsidRPr="00880746">
        <w:rPr>
          <w:rFonts w:ascii="宋体" w:eastAsia="宋体" w:hAnsi="宋体" w:cs="宋体" w:hint="eastAsia"/>
          <w:color w:val="000000"/>
          <w:kern w:val="0"/>
          <w:sz w:val="24"/>
          <w:szCs w:val="24"/>
        </w:rPr>
        <w:t>等凭据。</w:t>
      </w:r>
    </w:p>
    <w:p w14:paraId="44A8404F"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50"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color w:val="000000"/>
          <w:kern w:val="0"/>
          <w:sz w:val="24"/>
          <w:szCs w:val="24"/>
        </w:rPr>
        <w:t>（8）出版/文献/信息传播/知识产权事务费</w:t>
      </w:r>
    </w:p>
    <w:p w14:paraId="44A84051"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出版/文献/信息传播/知识产权事务费是指在课题研究开发过程中，需要支付的出版费、资料费、专用软件购买费、文献检索费、专业通信费、专利申请及其他知识产权事务等费用。</w:t>
      </w:r>
    </w:p>
    <w:p w14:paraId="44A84052"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大宗专业资料和软件购置支出要</w:t>
      </w:r>
      <w:r w:rsidRPr="00880746">
        <w:rPr>
          <w:rFonts w:ascii="宋体" w:eastAsia="宋体" w:hAnsi="宋体" w:cs="宋体" w:hint="eastAsia"/>
          <w:b/>
          <w:bCs/>
          <w:color w:val="000000"/>
          <w:kern w:val="0"/>
          <w:sz w:val="24"/>
          <w:szCs w:val="24"/>
        </w:rPr>
        <w:t>符合预算</w:t>
      </w:r>
      <w:r w:rsidRPr="00880746">
        <w:rPr>
          <w:rFonts w:ascii="宋体" w:eastAsia="宋体" w:hAnsi="宋体" w:cs="宋体" w:hint="eastAsia"/>
          <w:color w:val="000000"/>
          <w:kern w:val="0"/>
          <w:sz w:val="24"/>
          <w:szCs w:val="24"/>
        </w:rPr>
        <w:t>，有相关性；专业软件购买、专著出版等大额支出应</w:t>
      </w:r>
      <w:r w:rsidRPr="00880746">
        <w:rPr>
          <w:rFonts w:ascii="宋体" w:eastAsia="宋体" w:hAnsi="宋体" w:cs="宋体" w:hint="eastAsia"/>
          <w:b/>
          <w:bCs/>
          <w:color w:val="000000"/>
          <w:kern w:val="0"/>
          <w:sz w:val="24"/>
          <w:szCs w:val="24"/>
        </w:rPr>
        <w:t>有相关合同</w:t>
      </w:r>
      <w:r w:rsidRPr="00880746">
        <w:rPr>
          <w:rFonts w:ascii="宋体" w:eastAsia="宋体" w:hAnsi="宋体" w:cs="宋体" w:hint="eastAsia"/>
          <w:color w:val="000000"/>
          <w:kern w:val="0"/>
          <w:sz w:val="24"/>
          <w:szCs w:val="24"/>
        </w:rPr>
        <w:t>；专利申请及论文发票等支出应有</w:t>
      </w:r>
      <w:r w:rsidRPr="00880746">
        <w:rPr>
          <w:rFonts w:ascii="宋体" w:eastAsia="宋体" w:hAnsi="宋体" w:cs="宋体" w:hint="eastAsia"/>
          <w:b/>
          <w:bCs/>
          <w:color w:val="000000"/>
          <w:kern w:val="0"/>
          <w:sz w:val="24"/>
          <w:szCs w:val="24"/>
        </w:rPr>
        <w:t>受理函件或检索信息</w:t>
      </w:r>
      <w:r w:rsidRPr="00880746">
        <w:rPr>
          <w:rFonts w:ascii="宋体" w:eastAsia="宋体" w:hAnsi="宋体" w:cs="宋体" w:hint="eastAsia"/>
          <w:color w:val="000000"/>
          <w:kern w:val="0"/>
          <w:sz w:val="24"/>
          <w:szCs w:val="24"/>
        </w:rPr>
        <w:t>；要关注</w:t>
      </w:r>
      <w:r w:rsidRPr="00880746">
        <w:rPr>
          <w:rFonts w:ascii="宋体" w:eastAsia="宋体" w:hAnsi="宋体" w:cs="宋体" w:hint="eastAsia"/>
          <w:b/>
          <w:bCs/>
          <w:color w:val="000000"/>
          <w:kern w:val="0"/>
          <w:sz w:val="24"/>
          <w:szCs w:val="24"/>
        </w:rPr>
        <w:t>票据的真实性</w:t>
      </w:r>
      <w:r w:rsidRPr="00880746">
        <w:rPr>
          <w:rFonts w:ascii="宋体" w:eastAsia="宋体" w:hAnsi="宋体" w:cs="宋体" w:hint="eastAsia"/>
          <w:color w:val="000000"/>
          <w:kern w:val="0"/>
          <w:sz w:val="24"/>
          <w:szCs w:val="24"/>
        </w:rPr>
        <w:t>，对可疑票据可通过地方税务局发票查询系统进行验证，保障合法权益。</w:t>
      </w:r>
    </w:p>
    <w:p w14:paraId="44A84053"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54"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color w:val="000000"/>
          <w:kern w:val="0"/>
          <w:sz w:val="24"/>
          <w:szCs w:val="24"/>
        </w:rPr>
        <w:t>（9）劳务费</w:t>
      </w:r>
    </w:p>
    <w:p w14:paraId="44A84055"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劳务费是指在课题研究开发过程中支付给课题组成员中没有工资性收入的相关人员（如在校研究生）和课题组临时聘用人员等的劳务性费用。</w:t>
      </w:r>
    </w:p>
    <w:p w14:paraId="44A84056"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劳务费报销应按照预算书的要求</w:t>
      </w:r>
      <w:r w:rsidRPr="00880746">
        <w:rPr>
          <w:rFonts w:ascii="宋体" w:eastAsia="宋体" w:hAnsi="宋体" w:cs="宋体" w:hint="eastAsia"/>
          <w:b/>
          <w:bCs/>
          <w:color w:val="000000"/>
          <w:kern w:val="0"/>
          <w:sz w:val="24"/>
          <w:szCs w:val="24"/>
        </w:rPr>
        <w:t>据实列支</w:t>
      </w:r>
      <w:r w:rsidRPr="00880746">
        <w:rPr>
          <w:rFonts w:ascii="宋体" w:eastAsia="宋体" w:hAnsi="宋体" w:cs="宋体" w:hint="eastAsia"/>
          <w:color w:val="000000"/>
          <w:kern w:val="0"/>
          <w:sz w:val="24"/>
          <w:szCs w:val="24"/>
        </w:rPr>
        <w:t>；项目（课题）负责人要对领取劳务费人员的劳务时间和主要负责工作进行</w:t>
      </w:r>
      <w:r w:rsidRPr="00880746">
        <w:rPr>
          <w:rFonts w:ascii="宋体" w:eastAsia="宋体" w:hAnsi="宋体" w:cs="宋体" w:hint="eastAsia"/>
          <w:b/>
          <w:bCs/>
          <w:color w:val="000000"/>
          <w:kern w:val="0"/>
          <w:sz w:val="24"/>
          <w:szCs w:val="24"/>
        </w:rPr>
        <w:t>登记、考核</w:t>
      </w:r>
      <w:r w:rsidRPr="00880746">
        <w:rPr>
          <w:rFonts w:ascii="宋体" w:eastAsia="宋体" w:hAnsi="宋体" w:cs="宋体" w:hint="eastAsia"/>
          <w:color w:val="000000"/>
          <w:kern w:val="0"/>
          <w:sz w:val="24"/>
          <w:szCs w:val="24"/>
        </w:rPr>
        <w:t>以备查；劳务费的发放期限应结合课题</w:t>
      </w:r>
      <w:r w:rsidRPr="00880746">
        <w:rPr>
          <w:rFonts w:ascii="宋体" w:eastAsia="宋体" w:hAnsi="宋体" w:cs="宋体" w:hint="eastAsia"/>
          <w:b/>
          <w:bCs/>
          <w:color w:val="000000"/>
          <w:kern w:val="0"/>
          <w:sz w:val="24"/>
          <w:szCs w:val="24"/>
        </w:rPr>
        <w:t>研究周期</w:t>
      </w:r>
      <w:r w:rsidRPr="00880746">
        <w:rPr>
          <w:rFonts w:ascii="宋体" w:eastAsia="宋体" w:hAnsi="宋体" w:cs="宋体" w:hint="eastAsia"/>
          <w:color w:val="000000"/>
          <w:kern w:val="0"/>
          <w:sz w:val="24"/>
          <w:szCs w:val="24"/>
        </w:rPr>
        <w:t>；</w:t>
      </w:r>
      <w:r w:rsidRPr="00880746">
        <w:rPr>
          <w:rFonts w:ascii="宋体" w:eastAsia="宋体" w:hAnsi="宋体" w:cs="宋体" w:hint="eastAsia"/>
          <w:b/>
          <w:bCs/>
          <w:color w:val="000000"/>
          <w:kern w:val="0"/>
          <w:sz w:val="24"/>
          <w:szCs w:val="24"/>
        </w:rPr>
        <w:t>有工资性收入</w:t>
      </w:r>
      <w:r w:rsidRPr="00880746">
        <w:rPr>
          <w:rFonts w:ascii="宋体" w:eastAsia="宋体" w:hAnsi="宋体" w:cs="宋体" w:hint="eastAsia"/>
          <w:color w:val="000000"/>
          <w:kern w:val="0"/>
          <w:sz w:val="24"/>
          <w:szCs w:val="24"/>
        </w:rPr>
        <w:t>的课题参加人员不得发放劳务费。</w:t>
      </w:r>
    </w:p>
    <w:p w14:paraId="44A84057"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kern w:val="0"/>
          <w:sz w:val="24"/>
          <w:szCs w:val="24"/>
        </w:rPr>
        <w:t> </w:t>
      </w:r>
    </w:p>
    <w:p w14:paraId="44A84058" w14:textId="77777777" w:rsidR="00880746" w:rsidRPr="00880746" w:rsidRDefault="00880746" w:rsidP="00880746">
      <w:pPr>
        <w:widowControl/>
        <w:spacing w:line="220" w:lineRule="atLeast"/>
        <w:ind w:firstLine="562"/>
        <w:jc w:val="left"/>
        <w:rPr>
          <w:rFonts w:ascii="宋体" w:eastAsia="宋体" w:hAnsi="宋体" w:cs="宋体"/>
          <w:kern w:val="0"/>
          <w:sz w:val="24"/>
          <w:szCs w:val="24"/>
        </w:rPr>
      </w:pPr>
      <w:r w:rsidRPr="00880746">
        <w:rPr>
          <w:rFonts w:ascii="宋体" w:eastAsia="宋体" w:hAnsi="宋体" w:cs="宋体" w:hint="eastAsia"/>
          <w:b/>
          <w:bCs/>
          <w:color w:val="000000"/>
          <w:kern w:val="0"/>
          <w:sz w:val="24"/>
          <w:szCs w:val="24"/>
        </w:rPr>
        <w:t>（10）专家咨询费</w:t>
      </w:r>
    </w:p>
    <w:p w14:paraId="44A84059" w14:textId="77777777"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专家咨询费是指在课题研究开发过程中支付给临时聘请的咨询专家的费用。</w:t>
      </w:r>
    </w:p>
    <w:p w14:paraId="44A8405A" w14:textId="333F1D8D" w:rsidR="00880746" w:rsidRPr="00880746" w:rsidRDefault="00880746" w:rsidP="00880746">
      <w:pPr>
        <w:widowControl/>
        <w:spacing w:line="220" w:lineRule="atLeast"/>
        <w:ind w:firstLine="560"/>
        <w:jc w:val="left"/>
        <w:rPr>
          <w:rFonts w:ascii="宋体" w:eastAsia="宋体" w:hAnsi="宋体" w:cs="宋体"/>
          <w:kern w:val="0"/>
          <w:sz w:val="24"/>
          <w:szCs w:val="24"/>
        </w:rPr>
      </w:pPr>
      <w:r w:rsidRPr="00880746">
        <w:rPr>
          <w:rFonts w:ascii="宋体" w:eastAsia="宋体" w:hAnsi="宋体" w:cs="宋体" w:hint="eastAsia"/>
          <w:color w:val="000000"/>
          <w:kern w:val="0"/>
          <w:sz w:val="24"/>
          <w:szCs w:val="24"/>
        </w:rPr>
        <w:t>专家咨询费</w:t>
      </w:r>
      <w:r w:rsidRPr="00880746">
        <w:rPr>
          <w:rFonts w:ascii="宋体" w:eastAsia="宋体" w:hAnsi="宋体" w:cs="宋体" w:hint="eastAsia"/>
          <w:b/>
          <w:bCs/>
          <w:color w:val="000000"/>
          <w:kern w:val="0"/>
          <w:sz w:val="24"/>
          <w:szCs w:val="24"/>
        </w:rPr>
        <w:t>不得支付给课题参与人员以及课题管理相关的工作人员</w:t>
      </w:r>
      <w:r w:rsidRPr="00880746">
        <w:rPr>
          <w:rFonts w:ascii="宋体" w:eastAsia="宋体" w:hAnsi="宋体" w:cs="宋体" w:hint="eastAsia"/>
          <w:color w:val="000000"/>
          <w:kern w:val="0"/>
          <w:sz w:val="24"/>
          <w:szCs w:val="24"/>
        </w:rPr>
        <w:t>；不得列支博士、硕士研究生因学位</w:t>
      </w:r>
      <w:r w:rsidRPr="00880746">
        <w:rPr>
          <w:rFonts w:ascii="宋体" w:eastAsia="宋体" w:hAnsi="宋体" w:cs="宋体" w:hint="eastAsia"/>
          <w:b/>
          <w:bCs/>
          <w:color w:val="000000"/>
          <w:kern w:val="0"/>
          <w:sz w:val="24"/>
          <w:szCs w:val="24"/>
        </w:rPr>
        <w:t>论文答辩发生的相关费用</w:t>
      </w:r>
      <w:r w:rsidRPr="00880746">
        <w:rPr>
          <w:rFonts w:ascii="宋体" w:eastAsia="宋体" w:hAnsi="宋体" w:cs="宋体" w:hint="eastAsia"/>
          <w:color w:val="000000"/>
          <w:kern w:val="0"/>
          <w:sz w:val="24"/>
          <w:szCs w:val="24"/>
        </w:rPr>
        <w:t>（如专家评审费）；严格控制</w:t>
      </w:r>
      <w:r w:rsidRPr="00880746">
        <w:rPr>
          <w:rFonts w:ascii="宋体" w:eastAsia="宋体" w:hAnsi="宋体" w:cs="宋体" w:hint="eastAsia"/>
          <w:b/>
          <w:bCs/>
          <w:color w:val="000000"/>
          <w:kern w:val="0"/>
          <w:sz w:val="24"/>
          <w:szCs w:val="24"/>
        </w:rPr>
        <w:t>专家咨询费标准</w:t>
      </w:r>
      <w:r w:rsidRPr="00880746">
        <w:rPr>
          <w:rFonts w:ascii="宋体" w:eastAsia="宋体" w:hAnsi="宋体" w:cs="宋体" w:hint="eastAsia"/>
          <w:color w:val="000000"/>
          <w:kern w:val="0"/>
          <w:sz w:val="24"/>
          <w:szCs w:val="24"/>
        </w:rPr>
        <w:t>：以会议形式组织的咨询，专家咨询费的开支一般参照高级专业技术职称人员500-800元/人天、其他专业技术人员300-500元/人天的标准执行。会期超过两天的，第三天及以后的咨询费标准参照高级专业技术职称人员300-400元/人天、其他专业技术人员200-300元/人天执行。以通讯形式组织的咨询，专家咨询费的开支一般参照高级专业技术职称人员60-100元/人次、其他专业技术人员40-80元/人次的标准执行</w:t>
      </w:r>
      <w:r w:rsidR="00504442">
        <w:rPr>
          <w:rFonts w:ascii="宋体" w:eastAsia="宋体" w:hAnsi="宋体" w:cs="宋体" w:hint="eastAsia"/>
          <w:color w:val="000000"/>
          <w:kern w:val="0"/>
          <w:sz w:val="24"/>
          <w:szCs w:val="24"/>
        </w:rPr>
        <w:t>。</w:t>
      </w:r>
    </w:p>
    <w:p w14:paraId="44A8405B" w14:textId="77777777" w:rsidR="00631734" w:rsidRPr="00880746" w:rsidRDefault="00631734">
      <w:pPr>
        <w:rPr>
          <w:sz w:val="24"/>
          <w:szCs w:val="24"/>
        </w:rPr>
      </w:pPr>
    </w:p>
    <w:sectPr w:rsidR="00631734" w:rsidRPr="00880746" w:rsidSect="006317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8405E" w14:textId="77777777" w:rsidR="00040142" w:rsidRDefault="00040142" w:rsidP="00040142">
      <w:r>
        <w:separator/>
      </w:r>
    </w:p>
  </w:endnote>
  <w:endnote w:type="continuationSeparator" w:id="0">
    <w:p w14:paraId="44A8405F" w14:textId="77777777" w:rsidR="00040142" w:rsidRDefault="00040142" w:rsidP="0004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405C" w14:textId="77777777" w:rsidR="00040142" w:rsidRDefault="00040142" w:rsidP="00040142">
      <w:r>
        <w:separator/>
      </w:r>
    </w:p>
  </w:footnote>
  <w:footnote w:type="continuationSeparator" w:id="0">
    <w:p w14:paraId="44A8405D" w14:textId="77777777" w:rsidR="00040142" w:rsidRDefault="00040142" w:rsidP="000401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80746"/>
    <w:rsid w:val="00040142"/>
    <w:rsid w:val="001D7487"/>
    <w:rsid w:val="00255FEA"/>
    <w:rsid w:val="003A1AFD"/>
    <w:rsid w:val="004D5BCE"/>
    <w:rsid w:val="00504442"/>
    <w:rsid w:val="00631734"/>
    <w:rsid w:val="00880746"/>
    <w:rsid w:val="00906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A84032"/>
  <w15:docId w15:val="{9B4A6573-8728-4935-8A66-3020E71B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1734"/>
    <w:pPr>
      <w:widowControl w:val="0"/>
      <w:jc w:val="both"/>
    </w:pPr>
  </w:style>
  <w:style w:type="paragraph" w:styleId="3">
    <w:name w:val="heading 3"/>
    <w:basedOn w:val="a"/>
    <w:link w:val="30"/>
    <w:uiPriority w:val="9"/>
    <w:qFormat/>
    <w:rsid w:val="00880746"/>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880746"/>
    <w:rPr>
      <w:rFonts w:ascii="宋体" w:eastAsia="宋体" w:hAnsi="宋体" w:cs="宋体"/>
      <w:kern w:val="0"/>
      <w:sz w:val="24"/>
      <w:szCs w:val="24"/>
    </w:rPr>
  </w:style>
  <w:style w:type="character" w:customStyle="1" w:styleId="artdate1">
    <w:name w:val="art_date1"/>
    <w:basedOn w:val="a0"/>
    <w:rsid w:val="00880746"/>
    <w:rPr>
      <w:vanish w:val="0"/>
      <w:webHidden w:val="0"/>
      <w:color w:val="626262"/>
      <w:specVanish w:val="0"/>
    </w:rPr>
  </w:style>
  <w:style w:type="paragraph" w:styleId="a3">
    <w:name w:val="header"/>
    <w:basedOn w:val="a"/>
    <w:link w:val="a4"/>
    <w:uiPriority w:val="99"/>
    <w:unhideWhenUsed/>
    <w:rsid w:val="000401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0142"/>
    <w:rPr>
      <w:sz w:val="18"/>
      <w:szCs w:val="18"/>
    </w:rPr>
  </w:style>
  <w:style w:type="paragraph" w:styleId="a5">
    <w:name w:val="footer"/>
    <w:basedOn w:val="a"/>
    <w:link w:val="a6"/>
    <w:uiPriority w:val="99"/>
    <w:unhideWhenUsed/>
    <w:rsid w:val="00040142"/>
    <w:pPr>
      <w:tabs>
        <w:tab w:val="center" w:pos="4153"/>
        <w:tab w:val="right" w:pos="8306"/>
      </w:tabs>
      <w:snapToGrid w:val="0"/>
      <w:jc w:val="left"/>
    </w:pPr>
    <w:rPr>
      <w:sz w:val="18"/>
      <w:szCs w:val="18"/>
    </w:rPr>
  </w:style>
  <w:style w:type="character" w:customStyle="1" w:styleId="a6">
    <w:name w:val="页脚 字符"/>
    <w:basedOn w:val="a0"/>
    <w:link w:val="a5"/>
    <w:uiPriority w:val="99"/>
    <w:rsid w:val="000401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273359">
      <w:bodyDiv w:val="1"/>
      <w:marLeft w:val="0"/>
      <w:marRight w:val="0"/>
      <w:marTop w:val="0"/>
      <w:marBottom w:val="0"/>
      <w:divBdr>
        <w:top w:val="none" w:sz="0" w:space="0" w:color="auto"/>
        <w:left w:val="none" w:sz="0" w:space="0" w:color="auto"/>
        <w:bottom w:val="none" w:sz="0" w:space="0" w:color="auto"/>
        <w:right w:val="none" w:sz="0" w:space="0" w:color="auto"/>
      </w:divBdr>
      <w:divsChild>
        <w:div w:id="540943644">
          <w:marLeft w:val="0"/>
          <w:marRight w:val="0"/>
          <w:marTop w:val="0"/>
          <w:marBottom w:val="0"/>
          <w:divBdr>
            <w:top w:val="none" w:sz="0" w:space="0" w:color="auto"/>
            <w:left w:val="none" w:sz="0" w:space="0" w:color="auto"/>
            <w:bottom w:val="none" w:sz="0" w:space="0" w:color="auto"/>
            <w:right w:val="none" w:sz="0" w:space="0" w:color="auto"/>
          </w:divBdr>
          <w:divsChild>
            <w:div w:id="1996033846">
              <w:marLeft w:val="0"/>
              <w:marRight w:val="0"/>
              <w:marTop w:val="0"/>
              <w:marBottom w:val="0"/>
              <w:divBdr>
                <w:top w:val="none" w:sz="0" w:space="0" w:color="auto"/>
                <w:left w:val="none" w:sz="0" w:space="0" w:color="auto"/>
                <w:bottom w:val="none" w:sz="0" w:space="0" w:color="auto"/>
                <w:right w:val="none" w:sz="0" w:space="0" w:color="auto"/>
              </w:divBdr>
              <w:divsChild>
                <w:div w:id="696081824">
                  <w:marLeft w:val="0"/>
                  <w:marRight w:val="0"/>
                  <w:marTop w:val="0"/>
                  <w:marBottom w:val="0"/>
                  <w:divBdr>
                    <w:top w:val="none" w:sz="0" w:space="0" w:color="auto"/>
                    <w:left w:val="none" w:sz="0" w:space="0" w:color="auto"/>
                    <w:bottom w:val="none" w:sz="0" w:space="0" w:color="auto"/>
                    <w:right w:val="none" w:sz="0" w:space="0" w:color="auto"/>
                  </w:divBdr>
                  <w:divsChild>
                    <w:div w:id="297228969">
                      <w:marLeft w:val="0"/>
                      <w:marRight w:val="0"/>
                      <w:marTop w:val="0"/>
                      <w:marBottom w:val="0"/>
                      <w:divBdr>
                        <w:top w:val="none" w:sz="0" w:space="0" w:color="auto"/>
                        <w:left w:val="none" w:sz="0" w:space="0" w:color="auto"/>
                        <w:bottom w:val="none" w:sz="0" w:space="0" w:color="auto"/>
                        <w:right w:val="none" w:sz="0" w:space="0" w:color="auto"/>
                      </w:divBdr>
                      <w:divsChild>
                        <w:div w:id="924997806">
                          <w:marLeft w:val="0"/>
                          <w:marRight w:val="0"/>
                          <w:marTop w:val="0"/>
                          <w:marBottom w:val="0"/>
                          <w:divBdr>
                            <w:top w:val="none" w:sz="0" w:space="0" w:color="auto"/>
                            <w:left w:val="none" w:sz="0" w:space="0" w:color="auto"/>
                            <w:bottom w:val="none" w:sz="0" w:space="0" w:color="auto"/>
                            <w:right w:val="none" w:sz="0" w:space="0" w:color="auto"/>
                          </w:divBdr>
                        </w:div>
                        <w:div w:id="601575341">
                          <w:marLeft w:val="0"/>
                          <w:marRight w:val="0"/>
                          <w:marTop w:val="0"/>
                          <w:marBottom w:val="0"/>
                          <w:divBdr>
                            <w:top w:val="none" w:sz="0" w:space="0" w:color="auto"/>
                            <w:left w:val="none" w:sz="0" w:space="0" w:color="auto"/>
                            <w:bottom w:val="none" w:sz="0" w:space="0" w:color="auto"/>
                            <w:right w:val="none" w:sz="0" w:space="0" w:color="auto"/>
                          </w:divBdr>
                        </w:div>
                        <w:div w:id="887373611">
                          <w:marLeft w:val="0"/>
                          <w:marRight w:val="0"/>
                          <w:marTop w:val="0"/>
                          <w:marBottom w:val="0"/>
                          <w:divBdr>
                            <w:top w:val="none" w:sz="0" w:space="0" w:color="auto"/>
                            <w:left w:val="none" w:sz="0" w:space="0" w:color="auto"/>
                            <w:bottom w:val="none" w:sz="0" w:space="0" w:color="auto"/>
                            <w:right w:val="none" w:sz="0" w:space="0" w:color="auto"/>
                          </w:divBdr>
                        </w:div>
                        <w:div w:id="1864396031">
                          <w:marLeft w:val="0"/>
                          <w:marRight w:val="0"/>
                          <w:marTop w:val="0"/>
                          <w:marBottom w:val="0"/>
                          <w:divBdr>
                            <w:top w:val="none" w:sz="0" w:space="0" w:color="auto"/>
                            <w:left w:val="none" w:sz="0" w:space="0" w:color="auto"/>
                            <w:bottom w:val="none" w:sz="0" w:space="0" w:color="auto"/>
                            <w:right w:val="none" w:sz="0" w:space="0" w:color="auto"/>
                          </w:divBdr>
                        </w:div>
                        <w:div w:id="514851196">
                          <w:marLeft w:val="0"/>
                          <w:marRight w:val="0"/>
                          <w:marTop w:val="0"/>
                          <w:marBottom w:val="0"/>
                          <w:divBdr>
                            <w:top w:val="none" w:sz="0" w:space="0" w:color="auto"/>
                            <w:left w:val="none" w:sz="0" w:space="0" w:color="auto"/>
                            <w:bottom w:val="none" w:sz="0" w:space="0" w:color="auto"/>
                            <w:right w:val="none" w:sz="0" w:space="0" w:color="auto"/>
                          </w:divBdr>
                        </w:div>
                        <w:div w:id="2122333732">
                          <w:marLeft w:val="0"/>
                          <w:marRight w:val="0"/>
                          <w:marTop w:val="0"/>
                          <w:marBottom w:val="0"/>
                          <w:divBdr>
                            <w:top w:val="none" w:sz="0" w:space="0" w:color="auto"/>
                            <w:left w:val="none" w:sz="0" w:space="0" w:color="auto"/>
                            <w:bottom w:val="none" w:sz="0" w:space="0" w:color="auto"/>
                            <w:right w:val="none" w:sz="0" w:space="0" w:color="auto"/>
                          </w:divBdr>
                        </w:div>
                        <w:div w:id="2048334102">
                          <w:marLeft w:val="0"/>
                          <w:marRight w:val="0"/>
                          <w:marTop w:val="0"/>
                          <w:marBottom w:val="0"/>
                          <w:divBdr>
                            <w:top w:val="none" w:sz="0" w:space="0" w:color="auto"/>
                            <w:left w:val="none" w:sz="0" w:space="0" w:color="auto"/>
                            <w:bottom w:val="none" w:sz="0" w:space="0" w:color="auto"/>
                            <w:right w:val="none" w:sz="0" w:space="0" w:color="auto"/>
                          </w:divBdr>
                        </w:div>
                        <w:div w:id="2103797067">
                          <w:marLeft w:val="0"/>
                          <w:marRight w:val="0"/>
                          <w:marTop w:val="0"/>
                          <w:marBottom w:val="0"/>
                          <w:divBdr>
                            <w:top w:val="none" w:sz="0" w:space="0" w:color="auto"/>
                            <w:left w:val="none" w:sz="0" w:space="0" w:color="auto"/>
                            <w:bottom w:val="none" w:sz="0" w:space="0" w:color="auto"/>
                            <w:right w:val="none" w:sz="0" w:space="0" w:color="auto"/>
                          </w:divBdr>
                        </w:div>
                        <w:div w:id="544832755">
                          <w:marLeft w:val="0"/>
                          <w:marRight w:val="0"/>
                          <w:marTop w:val="0"/>
                          <w:marBottom w:val="0"/>
                          <w:divBdr>
                            <w:top w:val="none" w:sz="0" w:space="0" w:color="auto"/>
                            <w:left w:val="none" w:sz="0" w:space="0" w:color="auto"/>
                            <w:bottom w:val="none" w:sz="0" w:space="0" w:color="auto"/>
                            <w:right w:val="none" w:sz="0" w:space="0" w:color="auto"/>
                          </w:divBdr>
                        </w:div>
                        <w:div w:id="513109806">
                          <w:marLeft w:val="0"/>
                          <w:marRight w:val="0"/>
                          <w:marTop w:val="0"/>
                          <w:marBottom w:val="0"/>
                          <w:divBdr>
                            <w:top w:val="none" w:sz="0" w:space="0" w:color="auto"/>
                            <w:left w:val="none" w:sz="0" w:space="0" w:color="auto"/>
                            <w:bottom w:val="none" w:sz="0" w:space="0" w:color="auto"/>
                            <w:right w:val="none" w:sz="0" w:space="0" w:color="auto"/>
                          </w:divBdr>
                        </w:div>
                        <w:div w:id="1640263519">
                          <w:marLeft w:val="0"/>
                          <w:marRight w:val="0"/>
                          <w:marTop w:val="0"/>
                          <w:marBottom w:val="0"/>
                          <w:divBdr>
                            <w:top w:val="none" w:sz="0" w:space="0" w:color="auto"/>
                            <w:left w:val="none" w:sz="0" w:space="0" w:color="auto"/>
                            <w:bottom w:val="none" w:sz="0" w:space="0" w:color="auto"/>
                            <w:right w:val="none" w:sz="0" w:space="0" w:color="auto"/>
                          </w:divBdr>
                        </w:div>
                        <w:div w:id="659426769">
                          <w:marLeft w:val="0"/>
                          <w:marRight w:val="0"/>
                          <w:marTop w:val="0"/>
                          <w:marBottom w:val="0"/>
                          <w:divBdr>
                            <w:top w:val="none" w:sz="0" w:space="0" w:color="auto"/>
                            <w:left w:val="none" w:sz="0" w:space="0" w:color="auto"/>
                            <w:bottom w:val="none" w:sz="0" w:space="0" w:color="auto"/>
                            <w:right w:val="none" w:sz="0" w:space="0" w:color="auto"/>
                          </w:divBdr>
                        </w:div>
                        <w:div w:id="99419308">
                          <w:marLeft w:val="0"/>
                          <w:marRight w:val="0"/>
                          <w:marTop w:val="0"/>
                          <w:marBottom w:val="0"/>
                          <w:divBdr>
                            <w:top w:val="none" w:sz="0" w:space="0" w:color="auto"/>
                            <w:left w:val="none" w:sz="0" w:space="0" w:color="auto"/>
                            <w:bottom w:val="none" w:sz="0" w:space="0" w:color="auto"/>
                            <w:right w:val="none" w:sz="0" w:space="0" w:color="auto"/>
                          </w:divBdr>
                        </w:div>
                        <w:div w:id="859776799">
                          <w:marLeft w:val="0"/>
                          <w:marRight w:val="0"/>
                          <w:marTop w:val="0"/>
                          <w:marBottom w:val="0"/>
                          <w:divBdr>
                            <w:top w:val="none" w:sz="0" w:space="0" w:color="auto"/>
                            <w:left w:val="none" w:sz="0" w:space="0" w:color="auto"/>
                            <w:bottom w:val="none" w:sz="0" w:space="0" w:color="auto"/>
                            <w:right w:val="none" w:sz="0" w:space="0" w:color="auto"/>
                          </w:divBdr>
                        </w:div>
                        <w:div w:id="1714573921">
                          <w:marLeft w:val="0"/>
                          <w:marRight w:val="0"/>
                          <w:marTop w:val="0"/>
                          <w:marBottom w:val="0"/>
                          <w:divBdr>
                            <w:top w:val="none" w:sz="0" w:space="0" w:color="auto"/>
                            <w:left w:val="none" w:sz="0" w:space="0" w:color="auto"/>
                            <w:bottom w:val="none" w:sz="0" w:space="0" w:color="auto"/>
                            <w:right w:val="none" w:sz="0" w:space="0" w:color="auto"/>
                          </w:divBdr>
                        </w:div>
                        <w:div w:id="1753618754">
                          <w:marLeft w:val="0"/>
                          <w:marRight w:val="0"/>
                          <w:marTop w:val="0"/>
                          <w:marBottom w:val="0"/>
                          <w:divBdr>
                            <w:top w:val="none" w:sz="0" w:space="0" w:color="auto"/>
                            <w:left w:val="none" w:sz="0" w:space="0" w:color="auto"/>
                            <w:bottom w:val="none" w:sz="0" w:space="0" w:color="auto"/>
                            <w:right w:val="none" w:sz="0" w:space="0" w:color="auto"/>
                          </w:divBdr>
                        </w:div>
                        <w:div w:id="45490650">
                          <w:marLeft w:val="0"/>
                          <w:marRight w:val="0"/>
                          <w:marTop w:val="0"/>
                          <w:marBottom w:val="0"/>
                          <w:divBdr>
                            <w:top w:val="none" w:sz="0" w:space="0" w:color="auto"/>
                            <w:left w:val="none" w:sz="0" w:space="0" w:color="auto"/>
                            <w:bottom w:val="none" w:sz="0" w:space="0" w:color="auto"/>
                            <w:right w:val="none" w:sz="0" w:space="0" w:color="auto"/>
                          </w:divBdr>
                        </w:div>
                        <w:div w:id="661272915">
                          <w:marLeft w:val="0"/>
                          <w:marRight w:val="0"/>
                          <w:marTop w:val="0"/>
                          <w:marBottom w:val="0"/>
                          <w:divBdr>
                            <w:top w:val="none" w:sz="0" w:space="0" w:color="auto"/>
                            <w:left w:val="none" w:sz="0" w:space="0" w:color="auto"/>
                            <w:bottom w:val="none" w:sz="0" w:space="0" w:color="auto"/>
                            <w:right w:val="none" w:sz="0" w:space="0" w:color="auto"/>
                          </w:divBdr>
                        </w:div>
                        <w:div w:id="1102914930">
                          <w:marLeft w:val="0"/>
                          <w:marRight w:val="0"/>
                          <w:marTop w:val="0"/>
                          <w:marBottom w:val="0"/>
                          <w:divBdr>
                            <w:top w:val="none" w:sz="0" w:space="0" w:color="auto"/>
                            <w:left w:val="none" w:sz="0" w:space="0" w:color="auto"/>
                            <w:bottom w:val="none" w:sz="0" w:space="0" w:color="auto"/>
                            <w:right w:val="none" w:sz="0" w:space="0" w:color="auto"/>
                          </w:divBdr>
                        </w:div>
                        <w:div w:id="139200896">
                          <w:marLeft w:val="0"/>
                          <w:marRight w:val="0"/>
                          <w:marTop w:val="0"/>
                          <w:marBottom w:val="0"/>
                          <w:divBdr>
                            <w:top w:val="none" w:sz="0" w:space="0" w:color="auto"/>
                            <w:left w:val="none" w:sz="0" w:space="0" w:color="auto"/>
                            <w:bottom w:val="none" w:sz="0" w:space="0" w:color="auto"/>
                            <w:right w:val="none" w:sz="0" w:space="0" w:color="auto"/>
                          </w:divBdr>
                        </w:div>
                        <w:div w:id="8070477">
                          <w:marLeft w:val="0"/>
                          <w:marRight w:val="0"/>
                          <w:marTop w:val="0"/>
                          <w:marBottom w:val="0"/>
                          <w:divBdr>
                            <w:top w:val="none" w:sz="0" w:space="0" w:color="auto"/>
                            <w:left w:val="none" w:sz="0" w:space="0" w:color="auto"/>
                            <w:bottom w:val="none" w:sz="0" w:space="0" w:color="auto"/>
                            <w:right w:val="none" w:sz="0" w:space="0" w:color="auto"/>
                          </w:divBdr>
                        </w:div>
                        <w:div w:id="471019013">
                          <w:marLeft w:val="0"/>
                          <w:marRight w:val="0"/>
                          <w:marTop w:val="0"/>
                          <w:marBottom w:val="0"/>
                          <w:divBdr>
                            <w:top w:val="none" w:sz="0" w:space="0" w:color="auto"/>
                            <w:left w:val="none" w:sz="0" w:space="0" w:color="auto"/>
                            <w:bottom w:val="none" w:sz="0" w:space="0" w:color="auto"/>
                            <w:right w:val="none" w:sz="0" w:space="0" w:color="auto"/>
                          </w:divBdr>
                        </w:div>
                        <w:div w:id="256063384">
                          <w:marLeft w:val="0"/>
                          <w:marRight w:val="0"/>
                          <w:marTop w:val="0"/>
                          <w:marBottom w:val="0"/>
                          <w:divBdr>
                            <w:top w:val="none" w:sz="0" w:space="0" w:color="auto"/>
                            <w:left w:val="none" w:sz="0" w:space="0" w:color="auto"/>
                            <w:bottom w:val="none" w:sz="0" w:space="0" w:color="auto"/>
                            <w:right w:val="none" w:sz="0" w:space="0" w:color="auto"/>
                          </w:divBdr>
                        </w:div>
                        <w:div w:id="1504008324">
                          <w:marLeft w:val="0"/>
                          <w:marRight w:val="0"/>
                          <w:marTop w:val="0"/>
                          <w:marBottom w:val="0"/>
                          <w:divBdr>
                            <w:top w:val="none" w:sz="0" w:space="0" w:color="auto"/>
                            <w:left w:val="none" w:sz="0" w:space="0" w:color="auto"/>
                            <w:bottom w:val="none" w:sz="0" w:space="0" w:color="auto"/>
                            <w:right w:val="none" w:sz="0" w:space="0" w:color="auto"/>
                          </w:divBdr>
                        </w:div>
                        <w:div w:id="1401975276">
                          <w:marLeft w:val="0"/>
                          <w:marRight w:val="0"/>
                          <w:marTop w:val="0"/>
                          <w:marBottom w:val="0"/>
                          <w:divBdr>
                            <w:top w:val="none" w:sz="0" w:space="0" w:color="auto"/>
                            <w:left w:val="none" w:sz="0" w:space="0" w:color="auto"/>
                            <w:bottom w:val="none" w:sz="0" w:space="0" w:color="auto"/>
                            <w:right w:val="none" w:sz="0" w:space="0" w:color="auto"/>
                          </w:divBdr>
                        </w:div>
                        <w:div w:id="28914219">
                          <w:marLeft w:val="0"/>
                          <w:marRight w:val="0"/>
                          <w:marTop w:val="0"/>
                          <w:marBottom w:val="0"/>
                          <w:divBdr>
                            <w:top w:val="none" w:sz="0" w:space="0" w:color="auto"/>
                            <w:left w:val="none" w:sz="0" w:space="0" w:color="auto"/>
                            <w:bottom w:val="none" w:sz="0" w:space="0" w:color="auto"/>
                            <w:right w:val="none" w:sz="0" w:space="0" w:color="auto"/>
                          </w:divBdr>
                        </w:div>
                        <w:div w:id="825433581">
                          <w:marLeft w:val="0"/>
                          <w:marRight w:val="0"/>
                          <w:marTop w:val="0"/>
                          <w:marBottom w:val="0"/>
                          <w:divBdr>
                            <w:top w:val="none" w:sz="0" w:space="0" w:color="auto"/>
                            <w:left w:val="none" w:sz="0" w:space="0" w:color="auto"/>
                            <w:bottom w:val="none" w:sz="0" w:space="0" w:color="auto"/>
                            <w:right w:val="none" w:sz="0" w:space="0" w:color="auto"/>
                          </w:divBdr>
                        </w:div>
                        <w:div w:id="298191609">
                          <w:marLeft w:val="0"/>
                          <w:marRight w:val="0"/>
                          <w:marTop w:val="0"/>
                          <w:marBottom w:val="0"/>
                          <w:divBdr>
                            <w:top w:val="none" w:sz="0" w:space="0" w:color="auto"/>
                            <w:left w:val="none" w:sz="0" w:space="0" w:color="auto"/>
                            <w:bottom w:val="none" w:sz="0" w:space="0" w:color="auto"/>
                            <w:right w:val="none" w:sz="0" w:space="0" w:color="auto"/>
                          </w:divBdr>
                        </w:div>
                        <w:div w:id="1942642313">
                          <w:marLeft w:val="0"/>
                          <w:marRight w:val="0"/>
                          <w:marTop w:val="0"/>
                          <w:marBottom w:val="0"/>
                          <w:divBdr>
                            <w:top w:val="none" w:sz="0" w:space="0" w:color="auto"/>
                            <w:left w:val="none" w:sz="0" w:space="0" w:color="auto"/>
                            <w:bottom w:val="none" w:sz="0" w:space="0" w:color="auto"/>
                            <w:right w:val="none" w:sz="0" w:space="0" w:color="auto"/>
                          </w:divBdr>
                        </w:div>
                        <w:div w:id="1277639986">
                          <w:marLeft w:val="0"/>
                          <w:marRight w:val="0"/>
                          <w:marTop w:val="0"/>
                          <w:marBottom w:val="0"/>
                          <w:divBdr>
                            <w:top w:val="none" w:sz="0" w:space="0" w:color="auto"/>
                            <w:left w:val="none" w:sz="0" w:space="0" w:color="auto"/>
                            <w:bottom w:val="none" w:sz="0" w:space="0" w:color="auto"/>
                            <w:right w:val="none" w:sz="0" w:space="0" w:color="auto"/>
                          </w:divBdr>
                        </w:div>
                        <w:div w:id="963079251">
                          <w:marLeft w:val="0"/>
                          <w:marRight w:val="0"/>
                          <w:marTop w:val="0"/>
                          <w:marBottom w:val="0"/>
                          <w:divBdr>
                            <w:top w:val="none" w:sz="0" w:space="0" w:color="auto"/>
                            <w:left w:val="none" w:sz="0" w:space="0" w:color="auto"/>
                            <w:bottom w:val="none" w:sz="0" w:space="0" w:color="auto"/>
                            <w:right w:val="none" w:sz="0" w:space="0" w:color="auto"/>
                          </w:divBdr>
                        </w:div>
                        <w:div w:id="1638686583">
                          <w:marLeft w:val="0"/>
                          <w:marRight w:val="0"/>
                          <w:marTop w:val="0"/>
                          <w:marBottom w:val="0"/>
                          <w:divBdr>
                            <w:top w:val="none" w:sz="0" w:space="0" w:color="auto"/>
                            <w:left w:val="none" w:sz="0" w:space="0" w:color="auto"/>
                            <w:bottom w:val="none" w:sz="0" w:space="0" w:color="auto"/>
                            <w:right w:val="none" w:sz="0" w:space="0" w:color="auto"/>
                          </w:divBdr>
                        </w:div>
                        <w:div w:id="10373419">
                          <w:marLeft w:val="0"/>
                          <w:marRight w:val="0"/>
                          <w:marTop w:val="0"/>
                          <w:marBottom w:val="0"/>
                          <w:divBdr>
                            <w:top w:val="none" w:sz="0" w:space="0" w:color="auto"/>
                            <w:left w:val="none" w:sz="0" w:space="0" w:color="auto"/>
                            <w:bottom w:val="none" w:sz="0" w:space="0" w:color="auto"/>
                            <w:right w:val="none" w:sz="0" w:space="0" w:color="auto"/>
                          </w:divBdr>
                        </w:div>
                        <w:div w:id="397828821">
                          <w:marLeft w:val="0"/>
                          <w:marRight w:val="0"/>
                          <w:marTop w:val="0"/>
                          <w:marBottom w:val="0"/>
                          <w:divBdr>
                            <w:top w:val="none" w:sz="0" w:space="0" w:color="auto"/>
                            <w:left w:val="none" w:sz="0" w:space="0" w:color="auto"/>
                            <w:bottom w:val="none" w:sz="0" w:space="0" w:color="auto"/>
                            <w:right w:val="none" w:sz="0" w:space="0" w:color="auto"/>
                          </w:divBdr>
                        </w:div>
                        <w:div w:id="804276050">
                          <w:marLeft w:val="0"/>
                          <w:marRight w:val="0"/>
                          <w:marTop w:val="0"/>
                          <w:marBottom w:val="0"/>
                          <w:divBdr>
                            <w:top w:val="none" w:sz="0" w:space="0" w:color="auto"/>
                            <w:left w:val="none" w:sz="0" w:space="0" w:color="auto"/>
                            <w:bottom w:val="none" w:sz="0" w:space="0" w:color="auto"/>
                            <w:right w:val="none" w:sz="0" w:space="0" w:color="auto"/>
                          </w:divBdr>
                        </w:div>
                        <w:div w:id="724109990">
                          <w:marLeft w:val="0"/>
                          <w:marRight w:val="0"/>
                          <w:marTop w:val="0"/>
                          <w:marBottom w:val="0"/>
                          <w:divBdr>
                            <w:top w:val="none" w:sz="0" w:space="0" w:color="auto"/>
                            <w:left w:val="none" w:sz="0" w:space="0" w:color="auto"/>
                            <w:bottom w:val="none" w:sz="0" w:space="0" w:color="auto"/>
                            <w:right w:val="none" w:sz="0" w:space="0" w:color="auto"/>
                          </w:divBdr>
                        </w:div>
                        <w:div w:id="2085905763">
                          <w:marLeft w:val="0"/>
                          <w:marRight w:val="0"/>
                          <w:marTop w:val="0"/>
                          <w:marBottom w:val="0"/>
                          <w:divBdr>
                            <w:top w:val="none" w:sz="0" w:space="0" w:color="auto"/>
                            <w:left w:val="none" w:sz="0" w:space="0" w:color="auto"/>
                            <w:bottom w:val="none" w:sz="0" w:space="0" w:color="auto"/>
                            <w:right w:val="none" w:sz="0" w:space="0" w:color="auto"/>
                          </w:divBdr>
                        </w:div>
                        <w:div w:id="964311650">
                          <w:marLeft w:val="0"/>
                          <w:marRight w:val="0"/>
                          <w:marTop w:val="0"/>
                          <w:marBottom w:val="0"/>
                          <w:divBdr>
                            <w:top w:val="none" w:sz="0" w:space="0" w:color="auto"/>
                            <w:left w:val="none" w:sz="0" w:space="0" w:color="auto"/>
                            <w:bottom w:val="none" w:sz="0" w:space="0" w:color="auto"/>
                            <w:right w:val="none" w:sz="0" w:space="0" w:color="auto"/>
                          </w:divBdr>
                        </w:div>
                        <w:div w:id="139658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279</Words>
  <Characters>1596</Characters>
  <Application>Microsoft Office Word</Application>
  <DocSecurity>0</DocSecurity>
  <Lines>13</Lines>
  <Paragraphs>3</Paragraphs>
  <ScaleCrop>false</ScaleCrop>
  <Company>china</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Wang, Ju</cp:lastModifiedBy>
  <cp:revision>5</cp:revision>
  <dcterms:created xsi:type="dcterms:W3CDTF">2021-06-07T06:48:00Z</dcterms:created>
  <dcterms:modified xsi:type="dcterms:W3CDTF">2021-12-01T06:11:00Z</dcterms:modified>
</cp:coreProperties>
</file>