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E15" w:rsidRPr="0099445B" w:rsidRDefault="0099445B" w:rsidP="0099445B">
      <w:pPr>
        <w:jc w:val="center"/>
        <w:rPr>
          <w:b/>
          <w:sz w:val="36"/>
          <w:szCs w:val="36"/>
        </w:rPr>
      </w:pPr>
      <w:r w:rsidRPr="0099445B">
        <w:rPr>
          <w:rFonts w:hint="eastAsia"/>
          <w:b/>
          <w:sz w:val="36"/>
          <w:szCs w:val="36"/>
        </w:rPr>
        <w:t>科研预借票据相关规定</w:t>
      </w:r>
    </w:p>
    <w:p w:rsidR="0099445B" w:rsidRDefault="0099445B"/>
    <w:p w:rsidR="0099445B" w:rsidRPr="0099445B" w:rsidRDefault="0099445B" w:rsidP="0099445B">
      <w:pPr>
        <w:widowControl/>
        <w:spacing w:line="244" w:lineRule="atLeast"/>
        <w:ind w:firstLine="560"/>
        <w:jc w:val="left"/>
        <w:rPr>
          <w:rFonts w:ascii="ˎ̥" w:eastAsia="宋体" w:hAnsi="ˎ̥" w:cs="宋体" w:hint="eastAsia"/>
          <w:kern w:val="0"/>
          <w:sz w:val="13"/>
          <w:szCs w:val="13"/>
        </w:rPr>
      </w:pPr>
      <w:r w:rsidRPr="0099445B">
        <w:rPr>
          <w:rFonts w:ascii="ˎ̥" w:eastAsia="宋体" w:hAnsi="ˎ̥" w:cs="宋体"/>
          <w:kern w:val="0"/>
          <w:sz w:val="28"/>
          <w:szCs w:val="28"/>
        </w:rPr>
        <w:t>票据是收款的凭据，应在到款后才能开具。考虑到科研经费的特殊性，根据</w:t>
      </w:r>
      <w:r w:rsidRPr="0099445B">
        <w:rPr>
          <w:rFonts w:ascii="ˎ̥" w:eastAsia="宋体" w:hAnsi="ˎ̥" w:cs="宋体"/>
          <w:b/>
          <w:kern w:val="0"/>
          <w:sz w:val="28"/>
          <w:szCs w:val="28"/>
        </w:rPr>
        <w:t>《浙江大学票据管理办法（</w:t>
      </w:r>
      <w:r w:rsidRPr="0099445B">
        <w:rPr>
          <w:rFonts w:ascii="ˎ̥" w:eastAsia="宋体" w:hAnsi="ˎ̥" w:cs="宋体"/>
          <w:b/>
          <w:kern w:val="0"/>
          <w:sz w:val="28"/>
          <w:szCs w:val="28"/>
        </w:rPr>
        <w:t>2009</w:t>
      </w:r>
      <w:r w:rsidRPr="0099445B">
        <w:rPr>
          <w:rFonts w:ascii="ˎ̥" w:eastAsia="宋体" w:hAnsi="ˎ̥" w:cs="宋体"/>
          <w:b/>
          <w:kern w:val="0"/>
          <w:sz w:val="28"/>
          <w:szCs w:val="28"/>
        </w:rPr>
        <w:t>年</w:t>
      </w:r>
      <w:r w:rsidRPr="0099445B">
        <w:rPr>
          <w:rFonts w:ascii="ˎ̥" w:eastAsia="宋体" w:hAnsi="ˎ̥" w:cs="宋体"/>
          <w:b/>
          <w:kern w:val="0"/>
          <w:sz w:val="28"/>
          <w:szCs w:val="28"/>
        </w:rPr>
        <w:t>5</w:t>
      </w:r>
      <w:r w:rsidRPr="0099445B">
        <w:rPr>
          <w:rFonts w:ascii="ˎ̥" w:eastAsia="宋体" w:hAnsi="ˎ̥" w:cs="宋体"/>
          <w:b/>
          <w:kern w:val="0"/>
          <w:sz w:val="28"/>
          <w:szCs w:val="28"/>
        </w:rPr>
        <w:t>月修订）》</w:t>
      </w:r>
      <w:r w:rsidRPr="0099445B">
        <w:rPr>
          <w:rFonts w:ascii="ˎ̥" w:eastAsia="宋体" w:hAnsi="ˎ̥" w:cs="宋体"/>
          <w:kern w:val="0"/>
          <w:sz w:val="28"/>
          <w:szCs w:val="28"/>
        </w:rPr>
        <w:t>（浙大发计〔</w:t>
      </w:r>
      <w:r w:rsidRPr="0099445B">
        <w:rPr>
          <w:rFonts w:ascii="ˎ̥" w:eastAsia="宋体" w:hAnsi="ˎ̥" w:cs="宋体"/>
          <w:kern w:val="0"/>
          <w:sz w:val="28"/>
          <w:szCs w:val="28"/>
        </w:rPr>
        <w:t>2009</w:t>
      </w:r>
      <w:r w:rsidRPr="0099445B">
        <w:rPr>
          <w:rFonts w:ascii="ˎ̥" w:eastAsia="宋体" w:hAnsi="ˎ̥" w:cs="宋体"/>
          <w:kern w:val="0"/>
          <w:sz w:val="28"/>
          <w:szCs w:val="28"/>
        </w:rPr>
        <w:t>〕</w:t>
      </w:r>
      <w:r w:rsidRPr="0099445B">
        <w:rPr>
          <w:rFonts w:ascii="ˎ̥" w:eastAsia="宋体" w:hAnsi="ˎ̥" w:cs="宋体"/>
          <w:kern w:val="0"/>
          <w:sz w:val="28"/>
          <w:szCs w:val="28"/>
        </w:rPr>
        <w:t>8</w:t>
      </w:r>
      <w:r w:rsidRPr="0099445B">
        <w:rPr>
          <w:rFonts w:ascii="ˎ̥" w:eastAsia="宋体" w:hAnsi="ˎ̥" w:cs="宋体"/>
          <w:kern w:val="0"/>
          <w:sz w:val="28"/>
          <w:szCs w:val="28"/>
        </w:rPr>
        <w:t>号文件）规定，经相关部门审批，可酌情少量预借。在办理过程中，学校发现部分单位存在审批不严、部分票据不能及时到款核销等现象，致使学校形成呆帐坏帐，给学校和教师造成了损失。</w:t>
      </w:r>
    </w:p>
    <w:p w:rsidR="0099445B" w:rsidRPr="0099445B" w:rsidRDefault="0099445B" w:rsidP="0099445B">
      <w:pPr>
        <w:widowControl/>
        <w:spacing w:line="244" w:lineRule="atLeast"/>
        <w:ind w:firstLine="560"/>
        <w:jc w:val="left"/>
        <w:rPr>
          <w:rFonts w:ascii="ˎ̥" w:eastAsia="宋体" w:hAnsi="ˎ̥" w:cs="宋体" w:hint="eastAsia"/>
          <w:kern w:val="0"/>
          <w:sz w:val="13"/>
          <w:szCs w:val="13"/>
        </w:rPr>
      </w:pPr>
      <w:r w:rsidRPr="0099445B">
        <w:rPr>
          <w:rFonts w:ascii="ˎ̥" w:eastAsia="宋体" w:hAnsi="ˎ̥" w:cs="宋体"/>
          <w:kern w:val="0"/>
          <w:sz w:val="28"/>
          <w:szCs w:val="28"/>
        </w:rPr>
        <w:t>为进一步完善预借票据管理，控制财务风险，根据上半年财政部票据监管中心对我校提出的整改要求和学校相关管理规定，计财处、科研院、社科院经商议，决定针对</w:t>
      </w:r>
      <w:r w:rsidRPr="0099445B">
        <w:rPr>
          <w:rFonts w:ascii="ˎ̥" w:eastAsia="宋体" w:hAnsi="ˎ̥" w:cs="宋体"/>
          <w:b/>
          <w:kern w:val="0"/>
          <w:sz w:val="28"/>
          <w:szCs w:val="28"/>
        </w:rPr>
        <w:t>科研活动预借票据</w:t>
      </w:r>
      <w:r w:rsidRPr="0099445B">
        <w:rPr>
          <w:rFonts w:ascii="ˎ̥" w:eastAsia="宋体" w:hAnsi="ˎ̥" w:cs="宋体"/>
          <w:kern w:val="0"/>
          <w:sz w:val="28"/>
          <w:szCs w:val="28"/>
        </w:rPr>
        <w:t>提出如下补充规定：</w:t>
      </w:r>
    </w:p>
    <w:p w:rsidR="0099445B" w:rsidRPr="0099445B" w:rsidRDefault="0099445B" w:rsidP="0099445B">
      <w:pPr>
        <w:widowControl/>
        <w:spacing w:line="244" w:lineRule="atLeast"/>
        <w:ind w:firstLine="560"/>
        <w:jc w:val="left"/>
        <w:rPr>
          <w:rFonts w:ascii="ˎ̥" w:eastAsia="宋体" w:hAnsi="ˎ̥" w:cs="宋体" w:hint="eastAsia"/>
          <w:kern w:val="0"/>
          <w:sz w:val="13"/>
          <w:szCs w:val="13"/>
        </w:rPr>
      </w:pPr>
      <w:r w:rsidRPr="0099445B">
        <w:rPr>
          <w:rFonts w:ascii="ˎ̥" w:eastAsia="宋体" w:hAnsi="ˎ̥" w:cs="宋体"/>
          <w:kern w:val="0"/>
          <w:sz w:val="28"/>
          <w:szCs w:val="28"/>
        </w:rPr>
        <w:t>一、各学院（系）应高度重视预借票据业务，由各学院（系）科研科长负责审核并签字，加盖</w:t>
      </w:r>
      <w:r w:rsidRPr="0099445B">
        <w:rPr>
          <w:rFonts w:ascii="ˎ̥" w:eastAsia="宋体" w:hAnsi="ˎ̥" w:cs="宋体"/>
          <w:kern w:val="0"/>
          <w:sz w:val="28"/>
          <w:szCs w:val="28"/>
        </w:rPr>
        <w:t>“</w:t>
      </w:r>
      <w:r w:rsidRPr="0099445B">
        <w:rPr>
          <w:rFonts w:ascii="ˎ̥" w:eastAsia="宋体" w:hAnsi="ˎ̥" w:cs="宋体"/>
          <w:kern w:val="0"/>
          <w:sz w:val="28"/>
          <w:szCs w:val="28"/>
        </w:rPr>
        <w:t>浙江大学院级科研业务专用章</w:t>
      </w:r>
      <w:r w:rsidRPr="0099445B">
        <w:rPr>
          <w:rFonts w:ascii="ˎ̥" w:eastAsia="宋体" w:hAnsi="ˎ̥" w:cs="宋体"/>
          <w:kern w:val="0"/>
          <w:sz w:val="28"/>
          <w:szCs w:val="28"/>
        </w:rPr>
        <w:t>”</w:t>
      </w:r>
      <w:r w:rsidRPr="0099445B">
        <w:rPr>
          <w:rFonts w:ascii="ˎ̥" w:eastAsia="宋体" w:hAnsi="ˎ̥" w:cs="宋体"/>
          <w:kern w:val="0"/>
          <w:sz w:val="28"/>
          <w:szCs w:val="28"/>
        </w:rPr>
        <w:t>，切实负起相关责任。各学院（系）人员名单经科研院、社科院审定后留计财处备案。</w:t>
      </w:r>
    </w:p>
    <w:p w:rsidR="0099445B" w:rsidRPr="0099445B" w:rsidRDefault="0099445B" w:rsidP="0099445B">
      <w:pPr>
        <w:widowControl/>
        <w:spacing w:line="244" w:lineRule="atLeast"/>
        <w:ind w:firstLine="560"/>
        <w:jc w:val="left"/>
        <w:rPr>
          <w:rFonts w:ascii="ˎ̥" w:eastAsia="宋体" w:hAnsi="ˎ̥" w:cs="宋体" w:hint="eastAsia"/>
          <w:kern w:val="0"/>
          <w:sz w:val="13"/>
          <w:szCs w:val="13"/>
        </w:rPr>
      </w:pPr>
      <w:r w:rsidRPr="0099445B">
        <w:rPr>
          <w:rFonts w:ascii="ˎ̥" w:eastAsia="宋体" w:hAnsi="ˎ̥" w:cs="宋体"/>
          <w:kern w:val="0"/>
          <w:sz w:val="28"/>
          <w:szCs w:val="28"/>
        </w:rPr>
        <w:t>二、必须坚持先签合同后借票据的原则。请经办老师到财务办理预借票据时务必带上已签订并生效的科研合同或课题计划书、任务书。横向科研项目必须填上学校科研合同号。新立横向项目请先向科研院、社科院提交合同并审核生成合同号。</w:t>
      </w:r>
    </w:p>
    <w:p w:rsidR="0099445B" w:rsidRPr="0099445B" w:rsidRDefault="0099445B" w:rsidP="0099445B">
      <w:pPr>
        <w:widowControl/>
        <w:spacing w:line="244" w:lineRule="atLeast"/>
        <w:ind w:firstLine="560"/>
        <w:jc w:val="left"/>
        <w:rPr>
          <w:rFonts w:ascii="ˎ̥" w:eastAsia="宋体" w:hAnsi="ˎ̥" w:cs="宋体" w:hint="eastAsia"/>
          <w:kern w:val="0"/>
          <w:sz w:val="13"/>
          <w:szCs w:val="13"/>
        </w:rPr>
      </w:pPr>
      <w:r w:rsidRPr="0099445B">
        <w:rPr>
          <w:rFonts w:ascii="ˎ̥" w:eastAsia="宋体" w:hAnsi="ˎ̥" w:cs="宋体"/>
          <w:kern w:val="0"/>
          <w:sz w:val="28"/>
          <w:szCs w:val="28"/>
        </w:rPr>
        <w:t>三、督促已借票据的老师及时到款核销。各学院（系）应对超期的预借票据进行催讨，计财处、科研院、社科院予以配合。催讨无效的，学校将按《浙江大学票据管理办法（</w:t>
      </w:r>
      <w:r w:rsidRPr="0099445B">
        <w:rPr>
          <w:rFonts w:ascii="ˎ̥" w:eastAsia="宋体" w:hAnsi="ˎ̥" w:cs="宋体"/>
          <w:kern w:val="0"/>
          <w:sz w:val="28"/>
          <w:szCs w:val="28"/>
        </w:rPr>
        <w:t>2009</w:t>
      </w:r>
      <w:r w:rsidRPr="0099445B">
        <w:rPr>
          <w:rFonts w:ascii="ˎ̥" w:eastAsia="宋体" w:hAnsi="ˎ̥" w:cs="宋体"/>
          <w:kern w:val="0"/>
          <w:sz w:val="28"/>
          <w:szCs w:val="28"/>
        </w:rPr>
        <w:t>年</w:t>
      </w:r>
      <w:r w:rsidRPr="0099445B">
        <w:rPr>
          <w:rFonts w:ascii="ˎ̥" w:eastAsia="宋体" w:hAnsi="ˎ̥" w:cs="宋体"/>
          <w:kern w:val="0"/>
          <w:sz w:val="28"/>
          <w:szCs w:val="28"/>
        </w:rPr>
        <w:t>5</w:t>
      </w:r>
      <w:r w:rsidRPr="0099445B">
        <w:rPr>
          <w:rFonts w:ascii="ˎ̥" w:eastAsia="宋体" w:hAnsi="ˎ̥" w:cs="宋体"/>
          <w:kern w:val="0"/>
          <w:sz w:val="28"/>
          <w:szCs w:val="28"/>
        </w:rPr>
        <w:t>月修订）》（浙大发计〔</w:t>
      </w:r>
      <w:r w:rsidRPr="0099445B">
        <w:rPr>
          <w:rFonts w:ascii="ˎ̥" w:eastAsia="宋体" w:hAnsi="ˎ̥" w:cs="宋体"/>
          <w:kern w:val="0"/>
          <w:sz w:val="28"/>
          <w:szCs w:val="28"/>
        </w:rPr>
        <w:t>2009</w:t>
      </w:r>
      <w:r w:rsidRPr="0099445B">
        <w:rPr>
          <w:rFonts w:ascii="ˎ̥" w:eastAsia="宋体" w:hAnsi="ˎ̥" w:cs="宋体"/>
          <w:kern w:val="0"/>
          <w:sz w:val="28"/>
          <w:szCs w:val="28"/>
        </w:rPr>
        <w:t>〕</w:t>
      </w:r>
      <w:r w:rsidRPr="0099445B">
        <w:rPr>
          <w:rFonts w:ascii="ˎ̥" w:eastAsia="宋体" w:hAnsi="ˎ̥" w:cs="宋体"/>
          <w:kern w:val="0"/>
          <w:sz w:val="28"/>
          <w:szCs w:val="28"/>
        </w:rPr>
        <w:t>8</w:t>
      </w:r>
      <w:r w:rsidRPr="0099445B">
        <w:rPr>
          <w:rFonts w:ascii="ˎ̥" w:eastAsia="宋体" w:hAnsi="ˎ̥" w:cs="宋体"/>
          <w:kern w:val="0"/>
          <w:sz w:val="28"/>
          <w:szCs w:val="28"/>
        </w:rPr>
        <w:t>号文件）规定采取相关处罚措施。</w:t>
      </w:r>
    </w:p>
    <w:p w:rsidR="0099445B" w:rsidRPr="0099445B" w:rsidRDefault="0099445B" w:rsidP="0099445B">
      <w:pPr>
        <w:widowControl/>
        <w:spacing w:line="244" w:lineRule="atLeast"/>
        <w:ind w:firstLine="560"/>
        <w:jc w:val="left"/>
        <w:rPr>
          <w:rFonts w:ascii="ˎ̥" w:eastAsia="宋体" w:hAnsi="ˎ̥" w:cs="宋体" w:hint="eastAsia"/>
          <w:kern w:val="0"/>
          <w:sz w:val="13"/>
          <w:szCs w:val="13"/>
        </w:rPr>
      </w:pPr>
      <w:r w:rsidRPr="0099445B">
        <w:rPr>
          <w:rFonts w:ascii="ˎ̥" w:eastAsia="宋体" w:hAnsi="ˎ̥" w:cs="宋体"/>
          <w:kern w:val="0"/>
          <w:sz w:val="28"/>
          <w:szCs w:val="28"/>
        </w:rPr>
        <w:lastRenderedPageBreak/>
        <w:t>四、加强预借票据业务监管。各学院（系）应严格遵守学校票据使用和管理办法，若有违反规定的，学校将暂停单位预借票据业务。</w:t>
      </w:r>
    </w:p>
    <w:p w:rsidR="0099445B" w:rsidRPr="0099445B" w:rsidRDefault="0099445B" w:rsidP="0099445B">
      <w:pPr>
        <w:widowControl/>
        <w:spacing w:line="244" w:lineRule="atLeast"/>
        <w:ind w:firstLine="560"/>
        <w:jc w:val="left"/>
        <w:rPr>
          <w:rFonts w:ascii="ˎ̥" w:eastAsia="宋体" w:hAnsi="ˎ̥" w:cs="宋体" w:hint="eastAsia"/>
          <w:kern w:val="0"/>
          <w:sz w:val="13"/>
          <w:szCs w:val="13"/>
        </w:rPr>
      </w:pPr>
      <w:r w:rsidRPr="0099445B">
        <w:rPr>
          <w:rFonts w:ascii="ˎ̥" w:eastAsia="宋体" w:hAnsi="ˎ̥" w:cs="宋体"/>
          <w:kern w:val="0"/>
          <w:sz w:val="28"/>
          <w:szCs w:val="28"/>
        </w:rPr>
        <w:t>以上补充规定，从</w:t>
      </w:r>
      <w:r w:rsidRPr="0099445B">
        <w:rPr>
          <w:rFonts w:ascii="ˎ̥" w:eastAsia="宋体" w:hAnsi="ˎ̥" w:cs="宋体"/>
          <w:kern w:val="0"/>
          <w:sz w:val="28"/>
          <w:szCs w:val="28"/>
        </w:rPr>
        <w:t>2012</w:t>
      </w:r>
      <w:r w:rsidRPr="0099445B">
        <w:rPr>
          <w:rFonts w:ascii="ˎ̥" w:eastAsia="宋体" w:hAnsi="ˎ̥" w:cs="宋体"/>
          <w:kern w:val="0"/>
          <w:sz w:val="28"/>
          <w:szCs w:val="28"/>
        </w:rPr>
        <w:t>年</w:t>
      </w:r>
      <w:r w:rsidRPr="0099445B">
        <w:rPr>
          <w:rFonts w:ascii="ˎ̥" w:eastAsia="宋体" w:hAnsi="ˎ̥" w:cs="宋体"/>
          <w:kern w:val="0"/>
          <w:sz w:val="28"/>
          <w:szCs w:val="28"/>
        </w:rPr>
        <w:t>10</w:t>
      </w:r>
      <w:r w:rsidRPr="0099445B">
        <w:rPr>
          <w:rFonts w:ascii="ˎ̥" w:eastAsia="宋体" w:hAnsi="ˎ̥" w:cs="宋体"/>
          <w:kern w:val="0"/>
          <w:sz w:val="28"/>
          <w:szCs w:val="28"/>
        </w:rPr>
        <w:t>月</w:t>
      </w:r>
      <w:r w:rsidRPr="0099445B">
        <w:rPr>
          <w:rFonts w:ascii="ˎ̥" w:eastAsia="宋体" w:hAnsi="ˎ̥" w:cs="宋体"/>
          <w:kern w:val="0"/>
          <w:sz w:val="28"/>
          <w:szCs w:val="28"/>
        </w:rPr>
        <w:t>8</w:t>
      </w:r>
      <w:r w:rsidRPr="0099445B">
        <w:rPr>
          <w:rFonts w:ascii="ˎ̥" w:eastAsia="宋体" w:hAnsi="ˎ̥" w:cs="宋体"/>
          <w:kern w:val="0"/>
          <w:sz w:val="28"/>
          <w:szCs w:val="28"/>
        </w:rPr>
        <w:t>日开始执行。</w:t>
      </w:r>
    </w:p>
    <w:p w:rsidR="0099445B" w:rsidRDefault="0099445B" w:rsidP="0099445B">
      <w:pPr>
        <w:widowControl/>
        <w:spacing w:line="244" w:lineRule="atLeast"/>
        <w:ind w:firstLine="560"/>
        <w:jc w:val="left"/>
        <w:rPr>
          <w:rFonts w:ascii="ˎ̥" w:eastAsia="宋体" w:hAnsi="ˎ̥" w:cs="宋体" w:hint="eastAsia"/>
          <w:kern w:val="0"/>
          <w:sz w:val="28"/>
          <w:szCs w:val="28"/>
        </w:rPr>
      </w:pPr>
      <w:r w:rsidRPr="0099445B">
        <w:rPr>
          <w:rFonts w:ascii="ˎ̥" w:eastAsia="宋体" w:hAnsi="ˎ̥" w:cs="宋体"/>
          <w:kern w:val="0"/>
          <w:sz w:val="28"/>
          <w:szCs w:val="28"/>
        </w:rPr>
        <w:t>专此通知。</w:t>
      </w:r>
    </w:p>
    <w:p w:rsidR="006523E3" w:rsidRDefault="006523E3" w:rsidP="0099445B">
      <w:pPr>
        <w:widowControl/>
        <w:spacing w:line="244" w:lineRule="atLeast"/>
        <w:ind w:firstLine="560"/>
        <w:jc w:val="left"/>
        <w:rPr>
          <w:rFonts w:ascii="ˎ̥" w:eastAsia="宋体" w:hAnsi="ˎ̥" w:cs="宋体" w:hint="eastAsia"/>
          <w:kern w:val="0"/>
          <w:sz w:val="28"/>
          <w:szCs w:val="28"/>
        </w:rPr>
      </w:pPr>
    </w:p>
    <w:p w:rsidR="006523E3" w:rsidRDefault="00302B89" w:rsidP="0099445B">
      <w:pPr>
        <w:widowControl/>
        <w:spacing w:line="244" w:lineRule="atLeast"/>
        <w:ind w:firstLine="560"/>
        <w:jc w:val="left"/>
        <w:rPr>
          <w:rFonts w:ascii="ˎ̥" w:eastAsia="宋体" w:hAnsi="ˎ̥" w:cs="宋体" w:hint="eastAsia"/>
          <w:kern w:val="0"/>
          <w:sz w:val="28"/>
          <w:szCs w:val="28"/>
        </w:rPr>
      </w:pPr>
      <w:r>
        <w:rPr>
          <w:rFonts w:ascii="ˎ̥" w:eastAsia="宋体" w:hAnsi="ˎ̥" w:cs="宋体" w:hint="eastAsia"/>
          <w:kern w:val="0"/>
          <w:sz w:val="28"/>
          <w:szCs w:val="28"/>
        </w:rPr>
        <w:t>扣款比例</w:t>
      </w:r>
    </w:p>
    <w:p w:rsidR="006523E3" w:rsidRDefault="006523E3" w:rsidP="006523E3">
      <w:pPr>
        <w:widowControl/>
        <w:spacing w:line="244" w:lineRule="atLeast"/>
        <w:ind w:firstLine="222"/>
        <w:jc w:val="left"/>
        <w:rPr>
          <w:rFonts w:ascii="̥" w:eastAsia="宋体" w:hAnsi="̥" w:cs="宋体" w:hint="eastAsia"/>
          <w:kern w:val="0"/>
          <w:sz w:val="27"/>
          <w:szCs w:val="27"/>
        </w:rPr>
      </w:pPr>
      <w:r w:rsidRPr="006523E3">
        <w:rPr>
          <w:rFonts w:ascii="̥" w:eastAsia="宋体" w:hAnsi="̥" w:cs="宋体"/>
          <w:kern w:val="0"/>
          <w:sz w:val="27"/>
          <w:szCs w:val="27"/>
        </w:rPr>
        <w:t>经研究决定，今后预借票据按票面金额的</w:t>
      </w:r>
      <w:r w:rsidRPr="006523E3">
        <w:rPr>
          <w:rFonts w:ascii="̥" w:eastAsia="宋体" w:hAnsi="̥" w:cs="宋体"/>
          <w:kern w:val="0"/>
          <w:sz w:val="27"/>
          <w:szCs w:val="27"/>
        </w:rPr>
        <w:t>30%</w:t>
      </w:r>
      <w:r w:rsidRPr="006523E3">
        <w:rPr>
          <w:rFonts w:ascii="̥" w:eastAsia="宋体" w:hAnsi="̥" w:cs="宋体"/>
          <w:kern w:val="0"/>
          <w:sz w:val="27"/>
          <w:szCs w:val="27"/>
        </w:rPr>
        <w:t>扣款，但单笔扣款金额最高不超过</w:t>
      </w:r>
      <w:r w:rsidRPr="006523E3">
        <w:rPr>
          <w:rFonts w:ascii="̥" w:eastAsia="宋体" w:hAnsi="̥" w:cs="宋体"/>
          <w:kern w:val="0"/>
          <w:sz w:val="27"/>
          <w:szCs w:val="27"/>
        </w:rPr>
        <w:t>10</w:t>
      </w:r>
      <w:r w:rsidRPr="006523E3">
        <w:rPr>
          <w:rFonts w:ascii="̥" w:eastAsia="宋体" w:hAnsi="̥" w:cs="宋体"/>
          <w:kern w:val="0"/>
          <w:sz w:val="27"/>
          <w:szCs w:val="27"/>
        </w:rPr>
        <w:t>万元，请各校区统一按此规定执行。</w:t>
      </w:r>
    </w:p>
    <w:p w:rsidR="00432ECC" w:rsidRDefault="00432ECC" w:rsidP="006523E3">
      <w:pPr>
        <w:widowControl/>
        <w:spacing w:line="244" w:lineRule="atLeast"/>
        <w:ind w:firstLine="222"/>
        <w:jc w:val="left"/>
        <w:rPr>
          <w:rFonts w:ascii="̥" w:eastAsia="宋体" w:hAnsi="̥" w:cs="宋体" w:hint="eastAsia"/>
          <w:kern w:val="0"/>
          <w:sz w:val="27"/>
          <w:szCs w:val="27"/>
        </w:rPr>
      </w:pPr>
    </w:p>
    <w:p w:rsidR="00432ECC" w:rsidRPr="00432ECC" w:rsidRDefault="00432ECC" w:rsidP="006523E3">
      <w:pPr>
        <w:widowControl/>
        <w:spacing w:line="244" w:lineRule="atLeast"/>
        <w:ind w:firstLine="222"/>
        <w:jc w:val="left"/>
        <w:rPr>
          <w:rFonts w:ascii="̥" w:eastAsia="宋体" w:hAnsi="̥" w:cs="宋体" w:hint="eastAsia"/>
          <w:kern w:val="0"/>
          <w:sz w:val="20"/>
          <w:szCs w:val="20"/>
        </w:rPr>
      </w:pPr>
    </w:p>
    <w:p w:rsidR="006523E3" w:rsidRPr="006523E3" w:rsidRDefault="006523E3" w:rsidP="0099445B">
      <w:pPr>
        <w:widowControl/>
        <w:spacing w:line="244" w:lineRule="atLeast"/>
        <w:ind w:firstLine="560"/>
        <w:jc w:val="left"/>
        <w:rPr>
          <w:rFonts w:ascii="ˎ̥" w:eastAsia="宋体" w:hAnsi="ˎ̥" w:cs="宋体" w:hint="eastAsia"/>
          <w:kern w:val="0"/>
          <w:sz w:val="13"/>
          <w:szCs w:val="13"/>
        </w:rPr>
      </w:pPr>
    </w:p>
    <w:p w:rsidR="00432ECC" w:rsidRPr="00432ECC" w:rsidRDefault="00432ECC" w:rsidP="00432ECC">
      <w:pPr>
        <w:widowControl/>
        <w:spacing w:line="360" w:lineRule="auto"/>
        <w:ind w:firstLine="222"/>
        <w:jc w:val="left"/>
        <w:rPr>
          <w:rFonts w:ascii="̥" w:eastAsia="宋体" w:hAnsi="̥" w:cs="宋体" w:hint="eastAsia"/>
          <w:kern w:val="0"/>
          <w:sz w:val="24"/>
          <w:szCs w:val="24"/>
        </w:rPr>
      </w:pPr>
      <w:r w:rsidRPr="00432ECC">
        <w:rPr>
          <w:rFonts w:ascii="Times New Roman" w:eastAsia="宋体" w:hAnsi="Times New Roman" w:cs="宋体" w:hint="eastAsia"/>
          <w:kern w:val="0"/>
          <w:sz w:val="24"/>
          <w:szCs w:val="24"/>
        </w:rPr>
        <w:t>根据</w:t>
      </w:r>
      <w:r w:rsidRPr="00432ECC">
        <w:rPr>
          <w:rFonts w:ascii="̥" w:eastAsia="宋体" w:hAnsi="̥" w:cs="宋体"/>
          <w:kern w:val="0"/>
          <w:sz w:val="24"/>
          <w:szCs w:val="24"/>
        </w:rPr>
        <w:t>2008</w:t>
      </w:r>
      <w:r w:rsidRPr="00432ECC">
        <w:rPr>
          <w:rFonts w:ascii="Times New Roman" w:eastAsia="宋体" w:hAnsi="Times New Roman" w:cs="宋体" w:hint="eastAsia"/>
          <w:kern w:val="0"/>
          <w:sz w:val="24"/>
          <w:szCs w:val="24"/>
        </w:rPr>
        <w:t>年</w:t>
      </w:r>
      <w:r w:rsidRPr="00432ECC">
        <w:rPr>
          <w:rFonts w:ascii="̥" w:eastAsia="宋体" w:hAnsi="̥" w:cs="宋体"/>
          <w:kern w:val="0"/>
          <w:sz w:val="24"/>
          <w:szCs w:val="24"/>
        </w:rPr>
        <w:t>6</w:t>
      </w:r>
      <w:r w:rsidRPr="00432ECC">
        <w:rPr>
          <w:rFonts w:ascii="Times New Roman" w:eastAsia="宋体" w:hAnsi="Times New Roman" w:cs="宋体" w:hint="eastAsia"/>
          <w:kern w:val="0"/>
          <w:sz w:val="24"/>
          <w:szCs w:val="24"/>
        </w:rPr>
        <w:t>月</w:t>
      </w:r>
      <w:r w:rsidRPr="00432ECC">
        <w:rPr>
          <w:rFonts w:ascii="̥" w:eastAsia="宋体" w:hAnsi="̥" w:cs="宋体"/>
          <w:kern w:val="0"/>
          <w:sz w:val="24"/>
          <w:szCs w:val="24"/>
        </w:rPr>
        <w:t>12</w:t>
      </w:r>
      <w:r w:rsidRPr="00432ECC">
        <w:rPr>
          <w:rFonts w:ascii="Times New Roman" w:eastAsia="宋体" w:hAnsi="Times New Roman" w:cs="宋体" w:hint="eastAsia"/>
          <w:kern w:val="0"/>
          <w:sz w:val="24"/>
          <w:szCs w:val="24"/>
        </w:rPr>
        <w:t>日科研院、社科院、计财处召开的关于科研经费预借票据管理工作的会议精神，现通知如下：</w:t>
      </w:r>
    </w:p>
    <w:p w:rsidR="00432ECC" w:rsidRDefault="00432ECC" w:rsidP="00432ECC">
      <w:pPr>
        <w:widowControl/>
        <w:tabs>
          <w:tab w:val="num" w:pos="720"/>
        </w:tabs>
        <w:spacing w:line="360" w:lineRule="auto"/>
        <w:jc w:val="left"/>
        <w:rPr>
          <w:rFonts w:ascii="Times New Roman" w:eastAsia="宋体" w:hAnsi="Times New Roman" w:cs="宋体"/>
          <w:kern w:val="0"/>
          <w:sz w:val="24"/>
          <w:szCs w:val="24"/>
        </w:rPr>
      </w:pPr>
      <w:r w:rsidRPr="00432ECC">
        <w:rPr>
          <w:rFonts w:ascii="̥" w:eastAsia="宋体" w:hAnsi="̥" w:cs="宋体"/>
          <w:kern w:val="0"/>
          <w:sz w:val="24"/>
          <w:szCs w:val="24"/>
        </w:rPr>
        <w:t>一、</w:t>
      </w:r>
      <w:r w:rsidRPr="00432ECC">
        <w:rPr>
          <w:rFonts w:ascii="Times New Roman" w:eastAsia="宋体" w:hAnsi="Times New Roman" w:cs="Times New Roman"/>
          <w:kern w:val="0"/>
          <w:sz w:val="14"/>
          <w:szCs w:val="14"/>
        </w:rPr>
        <w:t xml:space="preserve">        </w:t>
      </w:r>
      <w:r w:rsidRPr="00432ECC">
        <w:rPr>
          <w:rFonts w:ascii="Times New Roman" w:eastAsia="宋体" w:hAnsi="Times New Roman" w:cs="宋体" w:hint="eastAsia"/>
          <w:kern w:val="0"/>
          <w:sz w:val="24"/>
          <w:szCs w:val="24"/>
        </w:rPr>
        <w:t>从</w:t>
      </w:r>
      <w:r w:rsidRPr="00432ECC">
        <w:rPr>
          <w:rFonts w:ascii="̥" w:eastAsia="宋体" w:hAnsi="̥" w:cs="宋体"/>
          <w:kern w:val="0"/>
          <w:sz w:val="24"/>
          <w:szCs w:val="24"/>
        </w:rPr>
        <w:t>7</w:t>
      </w:r>
      <w:r w:rsidRPr="00432ECC">
        <w:rPr>
          <w:rFonts w:ascii="Times New Roman" w:eastAsia="宋体" w:hAnsi="Times New Roman" w:cs="宋体" w:hint="eastAsia"/>
          <w:kern w:val="0"/>
          <w:sz w:val="24"/>
          <w:szCs w:val="24"/>
        </w:rPr>
        <w:t>月</w:t>
      </w:r>
      <w:r w:rsidRPr="00432ECC">
        <w:rPr>
          <w:rFonts w:ascii="̥" w:eastAsia="宋体" w:hAnsi="̥" w:cs="宋体"/>
          <w:kern w:val="0"/>
          <w:sz w:val="24"/>
          <w:szCs w:val="24"/>
        </w:rPr>
        <w:t>7</w:t>
      </w:r>
      <w:r w:rsidRPr="00432ECC">
        <w:rPr>
          <w:rFonts w:ascii="Times New Roman" w:eastAsia="宋体" w:hAnsi="Times New Roman" w:cs="宋体" w:hint="eastAsia"/>
          <w:kern w:val="0"/>
          <w:sz w:val="24"/>
          <w:szCs w:val="24"/>
        </w:rPr>
        <w:t>日起，原统一在紫金港校区办理的预借票据业务改为各校区会计核算分中心办理。原在紫金港校区预借的票据仍在紫金港核销。</w:t>
      </w:r>
    </w:p>
    <w:p w:rsidR="00EF4CFE" w:rsidRPr="00432ECC" w:rsidRDefault="00EF4CFE" w:rsidP="00432ECC">
      <w:pPr>
        <w:widowControl/>
        <w:tabs>
          <w:tab w:val="num" w:pos="720"/>
        </w:tabs>
        <w:spacing w:line="360" w:lineRule="auto"/>
        <w:jc w:val="left"/>
        <w:rPr>
          <w:rFonts w:ascii="̥" w:eastAsia="宋体" w:hAnsi="̥" w:cs="宋体" w:hint="eastAsia"/>
          <w:kern w:val="0"/>
          <w:sz w:val="24"/>
          <w:szCs w:val="24"/>
        </w:rPr>
      </w:pPr>
    </w:p>
    <w:p w:rsidR="00432ECC" w:rsidRPr="00432ECC" w:rsidRDefault="00432ECC" w:rsidP="00432ECC">
      <w:pPr>
        <w:widowControl/>
        <w:tabs>
          <w:tab w:val="num" w:pos="720"/>
        </w:tabs>
        <w:spacing w:line="360" w:lineRule="auto"/>
        <w:jc w:val="left"/>
        <w:rPr>
          <w:rFonts w:ascii="̥" w:eastAsia="宋体" w:hAnsi="̥" w:cs="宋体" w:hint="eastAsia"/>
          <w:kern w:val="0"/>
          <w:sz w:val="24"/>
          <w:szCs w:val="24"/>
        </w:rPr>
      </w:pPr>
      <w:r w:rsidRPr="00432ECC">
        <w:rPr>
          <w:rFonts w:ascii="̥" w:eastAsia="宋体" w:hAnsi="̥" w:cs="宋体"/>
          <w:kern w:val="0"/>
          <w:sz w:val="24"/>
          <w:szCs w:val="24"/>
        </w:rPr>
        <w:t>二、</w:t>
      </w:r>
      <w:r w:rsidRPr="00432ECC">
        <w:rPr>
          <w:rFonts w:ascii="Times New Roman" w:eastAsia="宋体" w:hAnsi="Times New Roman" w:cs="Times New Roman"/>
          <w:kern w:val="0"/>
          <w:sz w:val="14"/>
          <w:szCs w:val="14"/>
        </w:rPr>
        <w:t xml:space="preserve">        </w:t>
      </w:r>
      <w:r w:rsidRPr="00432ECC">
        <w:rPr>
          <w:rFonts w:ascii="Times New Roman" w:eastAsia="宋体" w:hAnsi="Times New Roman" w:cs="宋体" w:hint="eastAsia"/>
          <w:kern w:val="0"/>
          <w:sz w:val="24"/>
          <w:szCs w:val="24"/>
        </w:rPr>
        <w:t>开具浙江省财政厅的非税收</w:t>
      </w:r>
      <w:proofErr w:type="gramStart"/>
      <w:r w:rsidRPr="00432ECC">
        <w:rPr>
          <w:rFonts w:ascii="Times New Roman" w:eastAsia="宋体" w:hAnsi="Times New Roman" w:cs="宋体" w:hint="eastAsia"/>
          <w:kern w:val="0"/>
          <w:sz w:val="24"/>
          <w:szCs w:val="24"/>
        </w:rPr>
        <w:t>入统一</w:t>
      </w:r>
      <w:proofErr w:type="gramEnd"/>
      <w:r w:rsidRPr="00432ECC">
        <w:rPr>
          <w:rFonts w:ascii="Times New Roman" w:eastAsia="宋体" w:hAnsi="Times New Roman" w:cs="宋体" w:hint="eastAsia"/>
          <w:kern w:val="0"/>
          <w:sz w:val="24"/>
          <w:szCs w:val="24"/>
        </w:rPr>
        <w:t>票据的科研项目为：国内纵向项目、海外合作项目及部分横向项目；开具浙江省地方税务局服务业统一发票的项目均为横向项目，且必须提供科研合同，新立横向项目请向科研院、社科院提交合同并生成合同号。</w:t>
      </w:r>
    </w:p>
    <w:p w:rsidR="00432ECC" w:rsidRPr="00432ECC" w:rsidRDefault="00432ECC" w:rsidP="00432ECC">
      <w:pPr>
        <w:widowControl/>
        <w:spacing w:line="360" w:lineRule="auto"/>
        <w:ind w:firstLine="222"/>
        <w:jc w:val="left"/>
        <w:rPr>
          <w:rFonts w:ascii="̥" w:eastAsia="宋体" w:hAnsi="̥" w:cs="宋体" w:hint="eastAsia"/>
          <w:kern w:val="0"/>
          <w:sz w:val="24"/>
          <w:szCs w:val="24"/>
        </w:rPr>
      </w:pPr>
      <w:r w:rsidRPr="00432ECC">
        <w:rPr>
          <w:rFonts w:ascii="Times New Roman" w:eastAsia="宋体" w:hAnsi="Times New Roman" w:cs="宋体" w:hint="eastAsia"/>
          <w:kern w:val="0"/>
          <w:sz w:val="24"/>
          <w:szCs w:val="24"/>
        </w:rPr>
        <w:t>二、教师凭盖章后的《科研经费预借票据申请表》到各分中心预借票据管理人员办理预借票据，切记留下经办人员的联系电话。</w:t>
      </w:r>
    </w:p>
    <w:p w:rsidR="00432ECC" w:rsidRPr="00432ECC" w:rsidRDefault="00432ECC" w:rsidP="00432ECC">
      <w:pPr>
        <w:widowControl/>
        <w:spacing w:line="360" w:lineRule="auto"/>
        <w:ind w:firstLine="222"/>
        <w:jc w:val="left"/>
        <w:rPr>
          <w:rFonts w:ascii="宋体" w:eastAsia="宋体" w:hAnsi="Times New Roman" w:cs="宋体"/>
          <w:kern w:val="0"/>
          <w:sz w:val="24"/>
          <w:szCs w:val="24"/>
        </w:rPr>
      </w:pPr>
      <w:r w:rsidRPr="00432ECC">
        <w:rPr>
          <w:rFonts w:ascii="Times New Roman" w:eastAsia="宋体" w:hAnsi="Times New Roman" w:cs="宋体" w:hint="eastAsia"/>
          <w:kern w:val="0"/>
          <w:sz w:val="24"/>
          <w:szCs w:val="24"/>
        </w:rPr>
        <w:t>三、请各校区审核先以</w:t>
      </w:r>
      <w:r w:rsidRPr="00432ECC">
        <w:rPr>
          <w:rFonts w:ascii="̥" w:eastAsia="宋体" w:hAnsi="̥" w:cs="宋体"/>
          <w:kern w:val="0"/>
          <w:sz w:val="24"/>
          <w:szCs w:val="24"/>
        </w:rPr>
        <w:t>temp</w:t>
      </w:r>
      <w:r w:rsidRPr="00432ECC">
        <w:rPr>
          <w:rFonts w:ascii="Times New Roman" w:eastAsia="宋体" w:hAnsi="Times New Roman" w:cs="宋体" w:hint="eastAsia"/>
          <w:kern w:val="0"/>
          <w:sz w:val="24"/>
          <w:szCs w:val="24"/>
        </w:rPr>
        <w:t>登录天翼财务查询以往预借票据记录，</w:t>
      </w:r>
      <w:r w:rsidRPr="00432ECC">
        <w:rPr>
          <w:rFonts w:ascii="宋体" w:eastAsia="宋体" w:hAnsi="Times New Roman" w:cs="宋体" w:hint="eastAsia"/>
          <w:kern w:val="0"/>
          <w:sz w:val="24"/>
          <w:szCs w:val="24"/>
        </w:rPr>
        <w:t>同一人只能预借一张票据，谁预借谁归还、前借不清后不续借，按所借票据金额的30%作</w:t>
      </w:r>
      <w:bookmarkStart w:id="0" w:name="_GoBack"/>
      <w:bookmarkEnd w:id="0"/>
      <w:r w:rsidRPr="00432ECC">
        <w:rPr>
          <w:rFonts w:ascii="宋体" w:eastAsia="宋体" w:hAnsi="Times New Roman" w:cs="宋体" w:hint="eastAsia"/>
          <w:kern w:val="0"/>
          <w:sz w:val="24"/>
          <w:szCs w:val="24"/>
        </w:rPr>
        <w:t>预借票据的保证金，以借款的形式从已有经费卡中扣除，凭银行结算凭据或到款通知书，核销预借票据，到款后自动转回所扣保证金。</w:t>
      </w:r>
    </w:p>
    <w:p w:rsidR="00432ECC" w:rsidRPr="00432ECC" w:rsidRDefault="00432ECC" w:rsidP="00432ECC">
      <w:pPr>
        <w:widowControl/>
        <w:spacing w:line="360" w:lineRule="auto"/>
        <w:ind w:firstLine="222"/>
        <w:jc w:val="left"/>
        <w:rPr>
          <w:rFonts w:ascii="̥" w:eastAsia="宋体" w:hAnsi="̥" w:cs="宋体" w:hint="eastAsia"/>
          <w:kern w:val="0"/>
          <w:sz w:val="24"/>
          <w:szCs w:val="24"/>
        </w:rPr>
      </w:pPr>
      <w:r w:rsidRPr="00432ECC">
        <w:rPr>
          <w:rFonts w:ascii="Times New Roman" w:eastAsia="宋体" w:hAnsi="Times New Roman" w:cs="宋体" w:hint="eastAsia"/>
          <w:kern w:val="0"/>
          <w:sz w:val="24"/>
          <w:szCs w:val="24"/>
        </w:rPr>
        <w:t>四、如保证金不足</w:t>
      </w:r>
      <w:r w:rsidRPr="00432ECC">
        <w:rPr>
          <w:rFonts w:ascii="̥" w:eastAsia="宋体" w:hAnsi="̥" w:cs="宋体"/>
          <w:kern w:val="0"/>
          <w:sz w:val="24"/>
          <w:szCs w:val="24"/>
        </w:rPr>
        <w:t>30%</w:t>
      </w:r>
      <w:r w:rsidRPr="00432ECC">
        <w:rPr>
          <w:rFonts w:ascii="Times New Roman" w:eastAsia="宋体" w:hAnsi="Times New Roman" w:cs="宋体" w:hint="eastAsia"/>
          <w:kern w:val="0"/>
          <w:sz w:val="24"/>
          <w:szCs w:val="24"/>
        </w:rPr>
        <w:t>或借票据张数超过规定，由分中心主任审批。</w:t>
      </w:r>
    </w:p>
    <w:p w:rsidR="00432ECC" w:rsidRPr="00432ECC" w:rsidRDefault="00432ECC" w:rsidP="00432ECC">
      <w:pPr>
        <w:widowControl/>
        <w:spacing w:line="360" w:lineRule="auto"/>
        <w:ind w:firstLine="222"/>
        <w:jc w:val="left"/>
        <w:rPr>
          <w:rFonts w:ascii="̥" w:eastAsia="宋体" w:hAnsi="̥" w:cs="宋体" w:hint="eastAsia"/>
          <w:kern w:val="0"/>
          <w:sz w:val="24"/>
          <w:szCs w:val="24"/>
        </w:rPr>
      </w:pPr>
      <w:r w:rsidRPr="00432ECC">
        <w:rPr>
          <w:rFonts w:ascii="Times New Roman" w:eastAsia="宋体" w:hAnsi="Times New Roman" w:cs="宋体" w:hint="eastAsia"/>
          <w:kern w:val="0"/>
          <w:sz w:val="24"/>
          <w:szCs w:val="24"/>
        </w:rPr>
        <w:t>五、其他特殊情况由处长审批。</w:t>
      </w:r>
    </w:p>
    <w:p w:rsidR="00432ECC" w:rsidRPr="00432ECC" w:rsidRDefault="00432ECC" w:rsidP="00432ECC">
      <w:pPr>
        <w:widowControl/>
        <w:spacing w:line="360" w:lineRule="auto"/>
        <w:ind w:firstLine="222"/>
        <w:jc w:val="left"/>
        <w:rPr>
          <w:rFonts w:ascii="̥" w:eastAsia="宋体" w:hAnsi="̥" w:cs="宋体" w:hint="eastAsia"/>
          <w:kern w:val="0"/>
          <w:sz w:val="24"/>
          <w:szCs w:val="24"/>
        </w:rPr>
      </w:pPr>
      <w:r w:rsidRPr="00432ECC">
        <w:rPr>
          <w:rFonts w:ascii="Times New Roman" w:eastAsia="宋体" w:hAnsi="Times New Roman" w:cs="宋体" w:hint="eastAsia"/>
          <w:kern w:val="0"/>
          <w:sz w:val="24"/>
          <w:szCs w:val="24"/>
        </w:rPr>
        <w:lastRenderedPageBreak/>
        <w:t>六、每月</w:t>
      </w:r>
      <w:r w:rsidRPr="00432ECC">
        <w:rPr>
          <w:rFonts w:ascii="̥" w:eastAsia="宋体" w:hAnsi="̥" w:cs="宋体"/>
          <w:kern w:val="0"/>
          <w:sz w:val="24"/>
          <w:szCs w:val="24"/>
        </w:rPr>
        <w:t>25</w:t>
      </w:r>
      <w:r w:rsidRPr="00432ECC">
        <w:rPr>
          <w:rFonts w:ascii="Times New Roman" w:eastAsia="宋体" w:hAnsi="Times New Roman" w:cs="宋体" w:hint="eastAsia"/>
          <w:kern w:val="0"/>
          <w:sz w:val="24"/>
          <w:szCs w:val="24"/>
        </w:rPr>
        <w:t>日由各校区预借票据管理人员上报未到款清单到综合办鲍莉华处。邮箱：</w:t>
      </w:r>
      <w:hyperlink r:id="rId6" w:history="1">
        <w:r w:rsidRPr="00432ECC">
          <w:rPr>
            <w:rFonts w:ascii="̥" w:eastAsia="宋体" w:hAnsi="̥" w:cs="宋体"/>
            <w:color w:val="000000"/>
            <w:kern w:val="0"/>
            <w:sz w:val="24"/>
            <w:szCs w:val="24"/>
          </w:rPr>
          <w:t>baolh@cw.zju.edu.cn</w:t>
        </w:r>
      </w:hyperlink>
    </w:p>
    <w:p w:rsidR="00432ECC" w:rsidRPr="00432ECC" w:rsidRDefault="00432ECC" w:rsidP="00432ECC">
      <w:pPr>
        <w:widowControl/>
        <w:spacing w:line="360" w:lineRule="auto"/>
        <w:ind w:firstLine="222"/>
        <w:jc w:val="left"/>
        <w:rPr>
          <w:rFonts w:ascii="̥" w:eastAsia="宋体" w:hAnsi="̥" w:cs="宋体" w:hint="eastAsia"/>
          <w:kern w:val="0"/>
          <w:sz w:val="24"/>
          <w:szCs w:val="24"/>
        </w:rPr>
      </w:pPr>
      <w:r w:rsidRPr="00432ECC">
        <w:rPr>
          <w:rFonts w:ascii="Times New Roman" w:eastAsia="宋体" w:hAnsi="Times New Roman" w:cs="宋体" w:hint="eastAsia"/>
          <w:kern w:val="0"/>
          <w:sz w:val="24"/>
          <w:szCs w:val="24"/>
        </w:rPr>
        <w:t>七、预借票据的结报工作至少每学期结报一次。</w:t>
      </w:r>
    </w:p>
    <w:p w:rsidR="00432ECC" w:rsidRPr="00432ECC" w:rsidRDefault="00432ECC" w:rsidP="00432ECC">
      <w:pPr>
        <w:widowControl/>
        <w:spacing w:line="360" w:lineRule="auto"/>
        <w:ind w:firstLine="222"/>
        <w:jc w:val="left"/>
        <w:rPr>
          <w:rFonts w:ascii="̥" w:eastAsia="宋体" w:hAnsi="̥" w:cs="宋体" w:hint="eastAsia"/>
          <w:kern w:val="0"/>
          <w:sz w:val="24"/>
          <w:szCs w:val="24"/>
        </w:rPr>
      </w:pPr>
    </w:p>
    <w:p w:rsidR="0099445B" w:rsidRPr="00432ECC" w:rsidRDefault="0099445B"/>
    <w:sectPr w:rsidR="0099445B" w:rsidRPr="00432ECC" w:rsidSect="00954E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23E3" w:rsidRDefault="006523E3" w:rsidP="006523E3">
      <w:r>
        <w:separator/>
      </w:r>
    </w:p>
  </w:endnote>
  <w:endnote w:type="continuationSeparator" w:id="0">
    <w:p w:rsidR="006523E3" w:rsidRDefault="006523E3" w:rsidP="0065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ˎ̥">
    <w:altName w:val="Times New Roman"/>
    <w:panose1 w:val="00000000000000000000"/>
    <w:charset w:val="00"/>
    <w:family w:val="roman"/>
    <w:notTrueType/>
    <w:pitch w:val="default"/>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23E3" w:rsidRDefault="006523E3" w:rsidP="006523E3">
      <w:r>
        <w:separator/>
      </w:r>
    </w:p>
  </w:footnote>
  <w:footnote w:type="continuationSeparator" w:id="0">
    <w:p w:rsidR="006523E3" w:rsidRDefault="006523E3" w:rsidP="006523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9445B"/>
    <w:rsid w:val="00302B89"/>
    <w:rsid w:val="00432ECC"/>
    <w:rsid w:val="004B5BDF"/>
    <w:rsid w:val="004E1C1E"/>
    <w:rsid w:val="005B6459"/>
    <w:rsid w:val="006523E3"/>
    <w:rsid w:val="00791B02"/>
    <w:rsid w:val="00954E15"/>
    <w:rsid w:val="0099445B"/>
    <w:rsid w:val="00BA2348"/>
    <w:rsid w:val="00EF4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969668"/>
  <w15:docId w15:val="{6ABC20B2-3F0B-49C5-AA71-A2F7585BB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E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523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6523E3"/>
    <w:rPr>
      <w:sz w:val="18"/>
      <w:szCs w:val="18"/>
    </w:rPr>
  </w:style>
  <w:style w:type="paragraph" w:styleId="a5">
    <w:name w:val="footer"/>
    <w:basedOn w:val="a"/>
    <w:link w:val="a6"/>
    <w:uiPriority w:val="99"/>
    <w:semiHidden/>
    <w:unhideWhenUsed/>
    <w:rsid w:val="006523E3"/>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6523E3"/>
    <w:rPr>
      <w:sz w:val="18"/>
      <w:szCs w:val="18"/>
    </w:rPr>
  </w:style>
  <w:style w:type="character" w:styleId="a7">
    <w:name w:val="Hyperlink"/>
    <w:basedOn w:val="a0"/>
    <w:uiPriority w:val="99"/>
    <w:semiHidden/>
    <w:unhideWhenUsed/>
    <w:rsid w:val="00432ECC"/>
    <w:rPr>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26715">
      <w:bodyDiv w:val="1"/>
      <w:marLeft w:val="0"/>
      <w:marRight w:val="0"/>
      <w:marTop w:val="0"/>
      <w:marBottom w:val="0"/>
      <w:divBdr>
        <w:top w:val="none" w:sz="0" w:space="0" w:color="auto"/>
        <w:left w:val="none" w:sz="0" w:space="0" w:color="auto"/>
        <w:bottom w:val="none" w:sz="0" w:space="0" w:color="auto"/>
        <w:right w:val="none" w:sz="0" w:space="0" w:color="auto"/>
      </w:divBdr>
      <w:divsChild>
        <w:div w:id="394593671">
          <w:marLeft w:val="0"/>
          <w:marRight w:val="0"/>
          <w:marTop w:val="0"/>
          <w:marBottom w:val="0"/>
          <w:divBdr>
            <w:top w:val="none" w:sz="0" w:space="0" w:color="auto"/>
            <w:left w:val="none" w:sz="0" w:space="0" w:color="auto"/>
            <w:bottom w:val="none" w:sz="0" w:space="0" w:color="auto"/>
            <w:right w:val="none" w:sz="0" w:space="0" w:color="auto"/>
          </w:divBdr>
          <w:divsChild>
            <w:div w:id="1883906381">
              <w:marLeft w:val="0"/>
              <w:marRight w:val="0"/>
              <w:marTop w:val="0"/>
              <w:marBottom w:val="0"/>
              <w:divBdr>
                <w:top w:val="none" w:sz="0" w:space="0" w:color="auto"/>
                <w:left w:val="none" w:sz="0" w:space="0" w:color="auto"/>
                <w:bottom w:val="none" w:sz="0" w:space="0" w:color="auto"/>
                <w:right w:val="none" w:sz="0" w:space="0" w:color="auto"/>
              </w:divBdr>
              <w:divsChild>
                <w:div w:id="564292018">
                  <w:marLeft w:val="0"/>
                  <w:marRight w:val="0"/>
                  <w:marTop w:val="0"/>
                  <w:marBottom w:val="0"/>
                  <w:divBdr>
                    <w:top w:val="none" w:sz="0" w:space="0" w:color="auto"/>
                    <w:left w:val="none" w:sz="0" w:space="0" w:color="auto"/>
                    <w:bottom w:val="none" w:sz="0" w:space="0" w:color="auto"/>
                    <w:right w:val="none" w:sz="0" w:space="0" w:color="auto"/>
                  </w:divBdr>
                  <w:divsChild>
                    <w:div w:id="761536508">
                      <w:marLeft w:val="0"/>
                      <w:marRight w:val="0"/>
                      <w:marTop w:val="0"/>
                      <w:marBottom w:val="0"/>
                      <w:divBdr>
                        <w:top w:val="none" w:sz="0" w:space="0" w:color="auto"/>
                        <w:left w:val="none" w:sz="0" w:space="0" w:color="auto"/>
                        <w:bottom w:val="none" w:sz="0" w:space="0" w:color="auto"/>
                        <w:right w:val="none" w:sz="0" w:space="0" w:color="auto"/>
                      </w:divBdr>
                      <w:divsChild>
                        <w:div w:id="2118325823">
                          <w:marLeft w:val="0"/>
                          <w:marRight w:val="0"/>
                          <w:marTop w:val="0"/>
                          <w:marBottom w:val="0"/>
                          <w:divBdr>
                            <w:top w:val="none" w:sz="0" w:space="0" w:color="auto"/>
                            <w:left w:val="none" w:sz="0" w:space="0" w:color="auto"/>
                            <w:bottom w:val="none" w:sz="0" w:space="0" w:color="auto"/>
                            <w:right w:val="none" w:sz="0" w:space="0" w:color="auto"/>
                          </w:divBdr>
                        </w:div>
                        <w:div w:id="1877279473">
                          <w:marLeft w:val="0"/>
                          <w:marRight w:val="0"/>
                          <w:marTop w:val="0"/>
                          <w:marBottom w:val="0"/>
                          <w:divBdr>
                            <w:top w:val="none" w:sz="0" w:space="0" w:color="auto"/>
                            <w:left w:val="none" w:sz="0" w:space="0" w:color="auto"/>
                            <w:bottom w:val="none" w:sz="0" w:space="0" w:color="auto"/>
                            <w:right w:val="none" w:sz="0" w:space="0" w:color="auto"/>
                          </w:divBdr>
                        </w:div>
                        <w:div w:id="1779641229">
                          <w:marLeft w:val="0"/>
                          <w:marRight w:val="0"/>
                          <w:marTop w:val="0"/>
                          <w:marBottom w:val="0"/>
                          <w:divBdr>
                            <w:top w:val="none" w:sz="0" w:space="0" w:color="auto"/>
                            <w:left w:val="none" w:sz="0" w:space="0" w:color="auto"/>
                            <w:bottom w:val="none" w:sz="0" w:space="0" w:color="auto"/>
                            <w:right w:val="none" w:sz="0" w:space="0" w:color="auto"/>
                          </w:divBdr>
                        </w:div>
                        <w:div w:id="1241213999">
                          <w:marLeft w:val="0"/>
                          <w:marRight w:val="0"/>
                          <w:marTop w:val="0"/>
                          <w:marBottom w:val="0"/>
                          <w:divBdr>
                            <w:top w:val="none" w:sz="0" w:space="0" w:color="auto"/>
                            <w:left w:val="none" w:sz="0" w:space="0" w:color="auto"/>
                            <w:bottom w:val="none" w:sz="0" w:space="0" w:color="auto"/>
                            <w:right w:val="none" w:sz="0" w:space="0" w:color="auto"/>
                          </w:divBdr>
                        </w:div>
                        <w:div w:id="1875846032">
                          <w:marLeft w:val="0"/>
                          <w:marRight w:val="0"/>
                          <w:marTop w:val="0"/>
                          <w:marBottom w:val="0"/>
                          <w:divBdr>
                            <w:top w:val="none" w:sz="0" w:space="0" w:color="auto"/>
                            <w:left w:val="none" w:sz="0" w:space="0" w:color="auto"/>
                            <w:bottom w:val="none" w:sz="0" w:space="0" w:color="auto"/>
                            <w:right w:val="none" w:sz="0" w:space="0" w:color="auto"/>
                          </w:divBdr>
                        </w:div>
                        <w:div w:id="1655063102">
                          <w:marLeft w:val="0"/>
                          <w:marRight w:val="0"/>
                          <w:marTop w:val="0"/>
                          <w:marBottom w:val="0"/>
                          <w:divBdr>
                            <w:top w:val="none" w:sz="0" w:space="0" w:color="auto"/>
                            <w:left w:val="none" w:sz="0" w:space="0" w:color="auto"/>
                            <w:bottom w:val="none" w:sz="0" w:space="0" w:color="auto"/>
                            <w:right w:val="none" w:sz="0" w:space="0" w:color="auto"/>
                          </w:divBdr>
                        </w:div>
                        <w:div w:id="1613047086">
                          <w:marLeft w:val="0"/>
                          <w:marRight w:val="0"/>
                          <w:marTop w:val="0"/>
                          <w:marBottom w:val="0"/>
                          <w:divBdr>
                            <w:top w:val="none" w:sz="0" w:space="0" w:color="auto"/>
                            <w:left w:val="none" w:sz="0" w:space="0" w:color="auto"/>
                            <w:bottom w:val="none" w:sz="0" w:space="0" w:color="auto"/>
                            <w:right w:val="none" w:sz="0" w:space="0" w:color="auto"/>
                          </w:divBdr>
                        </w:div>
                        <w:div w:id="1883325878">
                          <w:marLeft w:val="0"/>
                          <w:marRight w:val="0"/>
                          <w:marTop w:val="0"/>
                          <w:marBottom w:val="0"/>
                          <w:divBdr>
                            <w:top w:val="none" w:sz="0" w:space="0" w:color="auto"/>
                            <w:left w:val="none" w:sz="0" w:space="0" w:color="auto"/>
                            <w:bottom w:val="none" w:sz="0" w:space="0" w:color="auto"/>
                            <w:right w:val="none" w:sz="0" w:space="0" w:color="auto"/>
                          </w:divBdr>
                        </w:div>
                        <w:div w:id="175173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811475">
      <w:bodyDiv w:val="1"/>
      <w:marLeft w:val="0"/>
      <w:marRight w:val="0"/>
      <w:marTop w:val="0"/>
      <w:marBottom w:val="0"/>
      <w:divBdr>
        <w:top w:val="none" w:sz="0" w:space="0" w:color="auto"/>
        <w:left w:val="none" w:sz="0" w:space="0" w:color="auto"/>
        <w:bottom w:val="none" w:sz="0" w:space="0" w:color="auto"/>
        <w:right w:val="none" w:sz="0" w:space="0" w:color="auto"/>
      </w:divBdr>
      <w:divsChild>
        <w:div w:id="1910652792">
          <w:marLeft w:val="0"/>
          <w:marRight w:val="0"/>
          <w:marTop w:val="0"/>
          <w:marBottom w:val="0"/>
          <w:divBdr>
            <w:top w:val="none" w:sz="0" w:space="0" w:color="auto"/>
            <w:left w:val="none" w:sz="0" w:space="0" w:color="auto"/>
            <w:bottom w:val="none" w:sz="0" w:space="0" w:color="auto"/>
            <w:right w:val="none" w:sz="0" w:space="0" w:color="auto"/>
          </w:divBdr>
          <w:divsChild>
            <w:div w:id="52968088">
              <w:marLeft w:val="0"/>
              <w:marRight w:val="0"/>
              <w:marTop w:val="0"/>
              <w:marBottom w:val="0"/>
              <w:divBdr>
                <w:top w:val="none" w:sz="0" w:space="0" w:color="auto"/>
                <w:left w:val="none" w:sz="0" w:space="0" w:color="auto"/>
                <w:bottom w:val="none" w:sz="0" w:space="0" w:color="auto"/>
                <w:right w:val="none" w:sz="0" w:space="0" w:color="auto"/>
              </w:divBdr>
              <w:divsChild>
                <w:div w:id="1188329167">
                  <w:marLeft w:val="0"/>
                  <w:marRight w:val="0"/>
                  <w:marTop w:val="0"/>
                  <w:marBottom w:val="0"/>
                  <w:divBdr>
                    <w:top w:val="none" w:sz="0" w:space="0" w:color="auto"/>
                    <w:left w:val="none" w:sz="0" w:space="0" w:color="auto"/>
                    <w:bottom w:val="none" w:sz="0" w:space="0" w:color="auto"/>
                    <w:right w:val="none" w:sz="0" w:space="0" w:color="auto"/>
                  </w:divBdr>
                  <w:divsChild>
                    <w:div w:id="22826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490378">
      <w:bodyDiv w:val="1"/>
      <w:marLeft w:val="0"/>
      <w:marRight w:val="0"/>
      <w:marTop w:val="0"/>
      <w:marBottom w:val="0"/>
      <w:divBdr>
        <w:top w:val="none" w:sz="0" w:space="0" w:color="auto"/>
        <w:left w:val="none" w:sz="0" w:space="0" w:color="auto"/>
        <w:bottom w:val="none" w:sz="0" w:space="0" w:color="auto"/>
        <w:right w:val="none" w:sz="0" w:space="0" w:color="auto"/>
      </w:divBdr>
      <w:divsChild>
        <w:div w:id="606427188">
          <w:marLeft w:val="0"/>
          <w:marRight w:val="0"/>
          <w:marTop w:val="0"/>
          <w:marBottom w:val="0"/>
          <w:divBdr>
            <w:top w:val="none" w:sz="0" w:space="0" w:color="auto"/>
            <w:left w:val="none" w:sz="0" w:space="0" w:color="auto"/>
            <w:bottom w:val="none" w:sz="0" w:space="0" w:color="auto"/>
            <w:right w:val="none" w:sz="0" w:space="0" w:color="auto"/>
          </w:divBdr>
          <w:divsChild>
            <w:div w:id="1282762203">
              <w:marLeft w:val="0"/>
              <w:marRight w:val="0"/>
              <w:marTop w:val="0"/>
              <w:marBottom w:val="0"/>
              <w:divBdr>
                <w:top w:val="none" w:sz="0" w:space="0" w:color="auto"/>
                <w:left w:val="none" w:sz="0" w:space="0" w:color="auto"/>
                <w:bottom w:val="none" w:sz="0" w:space="0" w:color="auto"/>
                <w:right w:val="none" w:sz="0" w:space="0" w:color="auto"/>
              </w:divBdr>
              <w:divsChild>
                <w:div w:id="1279263309">
                  <w:marLeft w:val="0"/>
                  <w:marRight w:val="0"/>
                  <w:marTop w:val="0"/>
                  <w:marBottom w:val="0"/>
                  <w:divBdr>
                    <w:top w:val="none" w:sz="0" w:space="0" w:color="auto"/>
                    <w:left w:val="none" w:sz="0" w:space="0" w:color="auto"/>
                    <w:bottom w:val="none" w:sz="0" w:space="0" w:color="auto"/>
                    <w:right w:val="none" w:sz="0" w:space="0" w:color="auto"/>
                  </w:divBdr>
                  <w:divsChild>
                    <w:div w:id="190594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aolh@cw.zj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198</Words>
  <Characters>1132</Characters>
  <Application>Microsoft Office Word</Application>
  <DocSecurity>0</DocSecurity>
  <Lines>9</Lines>
  <Paragraphs>2</Paragraphs>
  <ScaleCrop>false</ScaleCrop>
  <Company>china</Company>
  <LinksUpToDate>false</LinksUpToDate>
  <CharactersWithSpaces>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Peng, Sizhe</cp:lastModifiedBy>
  <cp:revision>9</cp:revision>
  <dcterms:created xsi:type="dcterms:W3CDTF">2021-04-19T01:40:00Z</dcterms:created>
  <dcterms:modified xsi:type="dcterms:W3CDTF">2021-04-19T03:07:00Z</dcterms:modified>
</cp:coreProperties>
</file>